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D8D46" w14:textId="1C526102" w:rsidR="00877675" w:rsidRDefault="00877675" w:rsidP="0035674C">
      <w:pPr>
        <w:spacing w:after="0" w:line="276" w:lineRule="auto"/>
        <w:contextualSpacing/>
        <w:rPr>
          <w:rFonts w:eastAsia="Times New Roman" w:cstheme="minorHAnsi"/>
          <w:b/>
          <w:bCs w:val="0"/>
          <w:noProof/>
          <w:color w:val="005EB8"/>
          <w:sz w:val="40"/>
          <w:szCs w:val="40"/>
          <w:lang w:eastAsia="en-GB"/>
        </w:rPr>
      </w:pPr>
      <w:r w:rsidRPr="00431E28">
        <w:rPr>
          <w:rFonts w:eastAsia="Times New Roman" w:cstheme="minorHAnsi"/>
          <w:b/>
          <w:bCs w:val="0"/>
          <w:noProof/>
          <w:color w:val="005EB8"/>
          <w:sz w:val="40"/>
          <w:szCs w:val="40"/>
          <w:lang w:eastAsia="en-GB"/>
        </w:rPr>
        <w:t xml:space="preserve">Specification for </w:t>
      </w:r>
      <w:r w:rsidR="009D6643">
        <w:rPr>
          <w:rFonts w:eastAsia="Times New Roman" w:cstheme="minorHAnsi"/>
          <w:b/>
          <w:bCs w:val="0"/>
          <w:noProof/>
          <w:color w:val="005EB8"/>
          <w:sz w:val="40"/>
          <w:szCs w:val="40"/>
          <w:lang w:eastAsia="en-GB"/>
        </w:rPr>
        <w:t>t</w:t>
      </w:r>
      <w:r w:rsidR="00934C0F" w:rsidRPr="00431E28">
        <w:rPr>
          <w:rFonts w:eastAsia="Times New Roman" w:cstheme="minorHAnsi"/>
          <w:b/>
          <w:bCs w:val="0"/>
          <w:noProof/>
          <w:color w:val="005EB8"/>
          <w:sz w:val="40"/>
          <w:szCs w:val="40"/>
          <w:lang w:eastAsia="en-GB"/>
        </w:rPr>
        <w:t xml:space="preserve">he </w:t>
      </w:r>
      <w:r w:rsidR="00F9652C">
        <w:rPr>
          <w:rFonts w:eastAsia="Times New Roman" w:cstheme="minorHAnsi"/>
          <w:b/>
          <w:bCs w:val="0"/>
          <w:noProof/>
          <w:color w:val="005EB8"/>
          <w:sz w:val="40"/>
          <w:szCs w:val="40"/>
          <w:lang w:eastAsia="en-GB"/>
        </w:rPr>
        <w:t xml:space="preserve">Oversupply </w:t>
      </w:r>
      <w:r w:rsidR="00E506BE">
        <w:rPr>
          <w:rFonts w:eastAsia="Times New Roman" w:cstheme="minorHAnsi"/>
          <w:b/>
          <w:bCs w:val="0"/>
          <w:noProof/>
          <w:color w:val="005EB8"/>
          <w:sz w:val="40"/>
          <w:szCs w:val="40"/>
          <w:lang w:eastAsia="en-GB"/>
        </w:rPr>
        <w:t>Dashboard</w:t>
      </w:r>
    </w:p>
    <w:p w14:paraId="43D0DF96" w14:textId="2ABC4AFB" w:rsidR="003E3C45" w:rsidRPr="003E3C45" w:rsidRDefault="003E3C45" w:rsidP="0035674C">
      <w:pPr>
        <w:spacing w:after="0" w:line="276" w:lineRule="auto"/>
        <w:contextualSpacing/>
        <w:rPr>
          <w:rFonts w:eastAsia="Times New Roman" w:cstheme="minorHAnsi"/>
          <w:b/>
          <w:bCs w:val="0"/>
          <w:noProof/>
          <w:color w:val="005EB8"/>
          <w:sz w:val="24"/>
          <w:szCs w:val="24"/>
          <w:lang w:eastAsia="en-GB"/>
        </w:rPr>
      </w:pPr>
      <w:r>
        <w:rPr>
          <w:rFonts w:eastAsia="Times New Roman" w:cstheme="minorHAnsi"/>
          <w:b/>
          <w:bCs w:val="0"/>
          <w:noProof/>
          <w:color w:val="005EB8"/>
          <w:sz w:val="24"/>
          <w:szCs w:val="24"/>
          <w:lang w:eastAsia="en-GB"/>
        </w:rPr>
        <w:t>April 2024</w:t>
      </w:r>
    </w:p>
    <w:p w14:paraId="4A93DBF4" w14:textId="77777777" w:rsidR="006D5DEE" w:rsidRPr="001F3797" w:rsidRDefault="006D5DEE" w:rsidP="0035674C">
      <w:pPr>
        <w:rPr>
          <w:rFonts w:cstheme="minorHAnsi"/>
        </w:rPr>
      </w:pPr>
    </w:p>
    <w:sdt>
      <w:sdtPr>
        <w:rPr>
          <w:rFonts w:asciiTheme="minorHAnsi" w:eastAsiaTheme="minorHAnsi" w:hAnsiTheme="minorHAnsi" w:cstheme="minorBidi"/>
          <w:color w:val="auto"/>
          <w:sz w:val="20"/>
          <w:szCs w:val="20"/>
        </w:rPr>
        <w:id w:val="-227155261"/>
        <w:docPartObj>
          <w:docPartGallery w:val="Table of Contents"/>
          <w:docPartUnique/>
        </w:docPartObj>
      </w:sdtPr>
      <w:sdtEndPr>
        <w:rPr>
          <w:rFonts w:cstheme="minorHAnsi"/>
          <w:b/>
          <w:noProof/>
        </w:rPr>
      </w:sdtEndPr>
      <w:sdtContent>
        <w:p w14:paraId="5D6FD323" w14:textId="195814AB" w:rsidR="003629ED" w:rsidRPr="00431E28" w:rsidRDefault="003629ED" w:rsidP="00872372">
          <w:pPr>
            <w:pStyle w:val="Heading3"/>
          </w:pPr>
          <w:r w:rsidRPr="00431E28">
            <w:t>Contents</w:t>
          </w:r>
        </w:p>
        <w:p w14:paraId="6AA1161F" w14:textId="4DE9359E" w:rsidR="00403661" w:rsidRDefault="00ED1739">
          <w:pPr>
            <w:pStyle w:val="TOC1"/>
            <w:rPr>
              <w:rFonts w:eastAsiaTheme="minorEastAsia"/>
              <w:bCs w:val="0"/>
              <w:noProof/>
              <w:kern w:val="2"/>
              <w:sz w:val="22"/>
              <w:szCs w:val="22"/>
              <w:lang w:eastAsia="en-GB"/>
              <w14:ligatures w14:val="standardContextual"/>
            </w:rPr>
          </w:pPr>
          <w:r>
            <w:rPr>
              <w:rFonts w:cstheme="minorHAnsi"/>
            </w:rPr>
            <w:fldChar w:fldCharType="begin"/>
          </w:r>
          <w:r>
            <w:rPr>
              <w:rFonts w:cstheme="minorHAnsi"/>
            </w:rPr>
            <w:instrText xml:space="preserve"> TOC \o "1-2" \h \z \u </w:instrText>
          </w:r>
          <w:r>
            <w:rPr>
              <w:rFonts w:cstheme="minorHAnsi"/>
            </w:rPr>
            <w:fldChar w:fldCharType="separate"/>
          </w:r>
          <w:hyperlink w:anchor="_Toc165029561" w:history="1">
            <w:r w:rsidR="00403661" w:rsidRPr="001F3079">
              <w:rPr>
                <w:rStyle w:val="Hyperlink"/>
                <w:rFonts w:cstheme="minorHAnsi"/>
                <w:noProof/>
              </w:rPr>
              <w:t>1.</w:t>
            </w:r>
            <w:r w:rsidR="00403661">
              <w:rPr>
                <w:rFonts w:eastAsiaTheme="minorEastAsia"/>
                <w:bCs w:val="0"/>
                <w:noProof/>
                <w:kern w:val="2"/>
                <w:sz w:val="22"/>
                <w:szCs w:val="22"/>
                <w:lang w:eastAsia="en-GB"/>
                <w14:ligatures w14:val="standardContextual"/>
              </w:rPr>
              <w:tab/>
            </w:r>
            <w:r w:rsidR="00403661" w:rsidRPr="001F3079">
              <w:rPr>
                <w:rStyle w:val="Hyperlink"/>
                <w:rFonts w:cstheme="minorHAnsi"/>
                <w:noProof/>
              </w:rPr>
              <w:t>Background</w:t>
            </w:r>
            <w:r w:rsidR="00403661">
              <w:rPr>
                <w:noProof/>
                <w:webHidden/>
              </w:rPr>
              <w:tab/>
            </w:r>
            <w:r w:rsidR="00403661">
              <w:rPr>
                <w:noProof/>
                <w:webHidden/>
              </w:rPr>
              <w:fldChar w:fldCharType="begin"/>
            </w:r>
            <w:r w:rsidR="00403661">
              <w:rPr>
                <w:noProof/>
                <w:webHidden/>
              </w:rPr>
              <w:instrText xml:space="preserve"> PAGEREF _Toc165029561 \h </w:instrText>
            </w:r>
            <w:r w:rsidR="00403661">
              <w:rPr>
                <w:noProof/>
                <w:webHidden/>
              </w:rPr>
            </w:r>
            <w:r w:rsidR="00403661">
              <w:rPr>
                <w:noProof/>
                <w:webHidden/>
              </w:rPr>
              <w:fldChar w:fldCharType="separate"/>
            </w:r>
            <w:r w:rsidR="00403661">
              <w:rPr>
                <w:noProof/>
                <w:webHidden/>
              </w:rPr>
              <w:t>2</w:t>
            </w:r>
            <w:r w:rsidR="00403661">
              <w:rPr>
                <w:noProof/>
                <w:webHidden/>
              </w:rPr>
              <w:fldChar w:fldCharType="end"/>
            </w:r>
          </w:hyperlink>
        </w:p>
        <w:p w14:paraId="40DA8C50" w14:textId="77418471" w:rsidR="00403661" w:rsidRDefault="00403661">
          <w:pPr>
            <w:pStyle w:val="TOC1"/>
            <w:rPr>
              <w:rFonts w:eastAsiaTheme="minorEastAsia"/>
              <w:bCs w:val="0"/>
              <w:noProof/>
              <w:kern w:val="2"/>
              <w:sz w:val="22"/>
              <w:szCs w:val="22"/>
              <w:lang w:eastAsia="en-GB"/>
              <w14:ligatures w14:val="standardContextual"/>
            </w:rPr>
          </w:pPr>
          <w:hyperlink w:anchor="_Toc165029562" w:history="1">
            <w:r w:rsidRPr="001F3079">
              <w:rPr>
                <w:rStyle w:val="Hyperlink"/>
                <w:rFonts w:cstheme="minorHAnsi"/>
                <w:noProof/>
              </w:rPr>
              <w:t>2.</w:t>
            </w:r>
            <w:r>
              <w:rPr>
                <w:rFonts w:eastAsiaTheme="minorEastAsia"/>
                <w:bCs w:val="0"/>
                <w:noProof/>
                <w:kern w:val="2"/>
                <w:sz w:val="22"/>
                <w:szCs w:val="22"/>
                <w:lang w:eastAsia="en-GB"/>
                <w14:ligatures w14:val="standardContextual"/>
              </w:rPr>
              <w:tab/>
            </w:r>
            <w:r w:rsidRPr="001F3079">
              <w:rPr>
                <w:rStyle w:val="Hyperlink"/>
                <w:rFonts w:cstheme="minorHAnsi"/>
                <w:noProof/>
              </w:rPr>
              <w:t>Approach to metric selection</w:t>
            </w:r>
            <w:r>
              <w:rPr>
                <w:noProof/>
                <w:webHidden/>
              </w:rPr>
              <w:tab/>
            </w:r>
            <w:r>
              <w:rPr>
                <w:noProof/>
                <w:webHidden/>
              </w:rPr>
              <w:fldChar w:fldCharType="begin"/>
            </w:r>
            <w:r>
              <w:rPr>
                <w:noProof/>
                <w:webHidden/>
              </w:rPr>
              <w:instrText xml:space="preserve"> PAGEREF _Toc165029562 \h </w:instrText>
            </w:r>
            <w:r>
              <w:rPr>
                <w:noProof/>
                <w:webHidden/>
              </w:rPr>
            </w:r>
            <w:r>
              <w:rPr>
                <w:noProof/>
                <w:webHidden/>
              </w:rPr>
              <w:fldChar w:fldCharType="separate"/>
            </w:r>
            <w:r>
              <w:rPr>
                <w:noProof/>
                <w:webHidden/>
              </w:rPr>
              <w:t>2</w:t>
            </w:r>
            <w:r>
              <w:rPr>
                <w:noProof/>
                <w:webHidden/>
              </w:rPr>
              <w:fldChar w:fldCharType="end"/>
            </w:r>
          </w:hyperlink>
        </w:p>
        <w:p w14:paraId="1B45A5DE" w14:textId="4C908414" w:rsidR="00403661" w:rsidRDefault="00403661">
          <w:pPr>
            <w:pStyle w:val="TOC1"/>
            <w:rPr>
              <w:rFonts w:eastAsiaTheme="minorEastAsia"/>
              <w:bCs w:val="0"/>
              <w:noProof/>
              <w:kern w:val="2"/>
              <w:sz w:val="22"/>
              <w:szCs w:val="22"/>
              <w:lang w:eastAsia="en-GB"/>
              <w14:ligatures w14:val="standardContextual"/>
            </w:rPr>
          </w:pPr>
          <w:hyperlink w:anchor="_Toc165029563" w:history="1">
            <w:r w:rsidRPr="001F3079">
              <w:rPr>
                <w:rStyle w:val="Hyperlink"/>
                <w:rFonts w:cstheme="minorHAnsi"/>
                <w:noProof/>
              </w:rPr>
              <w:t>3.</w:t>
            </w:r>
            <w:r>
              <w:rPr>
                <w:rFonts w:eastAsiaTheme="minorEastAsia"/>
                <w:bCs w:val="0"/>
                <w:noProof/>
                <w:kern w:val="2"/>
                <w:sz w:val="22"/>
                <w:szCs w:val="22"/>
                <w:lang w:eastAsia="en-GB"/>
                <w14:ligatures w14:val="standardContextual"/>
              </w:rPr>
              <w:tab/>
            </w:r>
            <w:r w:rsidRPr="001F3079">
              <w:rPr>
                <w:rStyle w:val="Hyperlink"/>
                <w:rFonts w:cstheme="minorHAnsi"/>
                <w:noProof/>
              </w:rPr>
              <w:t>Advice for healthcare professionals:</w:t>
            </w:r>
            <w:r>
              <w:rPr>
                <w:noProof/>
                <w:webHidden/>
              </w:rPr>
              <w:tab/>
            </w:r>
            <w:r>
              <w:rPr>
                <w:noProof/>
                <w:webHidden/>
              </w:rPr>
              <w:fldChar w:fldCharType="begin"/>
            </w:r>
            <w:r>
              <w:rPr>
                <w:noProof/>
                <w:webHidden/>
              </w:rPr>
              <w:instrText xml:space="preserve"> PAGEREF _Toc165029563 \h </w:instrText>
            </w:r>
            <w:r>
              <w:rPr>
                <w:noProof/>
                <w:webHidden/>
              </w:rPr>
            </w:r>
            <w:r>
              <w:rPr>
                <w:noProof/>
                <w:webHidden/>
              </w:rPr>
              <w:fldChar w:fldCharType="separate"/>
            </w:r>
            <w:r>
              <w:rPr>
                <w:noProof/>
                <w:webHidden/>
              </w:rPr>
              <w:t>2</w:t>
            </w:r>
            <w:r>
              <w:rPr>
                <w:noProof/>
                <w:webHidden/>
              </w:rPr>
              <w:fldChar w:fldCharType="end"/>
            </w:r>
          </w:hyperlink>
        </w:p>
        <w:p w14:paraId="59F8F017" w14:textId="299C269D" w:rsidR="00403661" w:rsidRDefault="00403661">
          <w:pPr>
            <w:pStyle w:val="TOC1"/>
            <w:rPr>
              <w:rFonts w:eastAsiaTheme="minorEastAsia"/>
              <w:bCs w:val="0"/>
              <w:noProof/>
              <w:kern w:val="2"/>
              <w:sz w:val="22"/>
              <w:szCs w:val="22"/>
              <w:lang w:eastAsia="en-GB"/>
              <w14:ligatures w14:val="standardContextual"/>
            </w:rPr>
          </w:pPr>
          <w:hyperlink w:anchor="_Toc165029564" w:history="1">
            <w:r w:rsidRPr="001F3079">
              <w:rPr>
                <w:rStyle w:val="Hyperlink"/>
                <w:rFonts w:cstheme="minorHAnsi"/>
                <w:noProof/>
              </w:rPr>
              <w:t>4.</w:t>
            </w:r>
            <w:r>
              <w:rPr>
                <w:rFonts w:eastAsiaTheme="minorEastAsia"/>
                <w:bCs w:val="0"/>
                <w:noProof/>
                <w:kern w:val="2"/>
                <w:sz w:val="22"/>
                <w:szCs w:val="22"/>
                <w:lang w:eastAsia="en-GB"/>
                <w14:ligatures w14:val="standardContextual"/>
              </w:rPr>
              <w:tab/>
            </w:r>
            <w:r w:rsidRPr="001F3079">
              <w:rPr>
                <w:rStyle w:val="Hyperlink"/>
                <w:rFonts w:cstheme="minorHAnsi"/>
                <w:noProof/>
              </w:rPr>
              <w:t>Drug grouping</w:t>
            </w:r>
            <w:r>
              <w:rPr>
                <w:noProof/>
                <w:webHidden/>
              </w:rPr>
              <w:tab/>
            </w:r>
            <w:r>
              <w:rPr>
                <w:noProof/>
                <w:webHidden/>
              </w:rPr>
              <w:fldChar w:fldCharType="begin"/>
            </w:r>
            <w:r>
              <w:rPr>
                <w:noProof/>
                <w:webHidden/>
              </w:rPr>
              <w:instrText xml:space="preserve"> PAGEREF _Toc165029564 \h </w:instrText>
            </w:r>
            <w:r>
              <w:rPr>
                <w:noProof/>
                <w:webHidden/>
              </w:rPr>
            </w:r>
            <w:r>
              <w:rPr>
                <w:noProof/>
                <w:webHidden/>
              </w:rPr>
              <w:fldChar w:fldCharType="separate"/>
            </w:r>
            <w:r>
              <w:rPr>
                <w:noProof/>
                <w:webHidden/>
              </w:rPr>
              <w:t>3</w:t>
            </w:r>
            <w:r>
              <w:rPr>
                <w:noProof/>
                <w:webHidden/>
              </w:rPr>
              <w:fldChar w:fldCharType="end"/>
            </w:r>
          </w:hyperlink>
        </w:p>
        <w:p w14:paraId="3E1F9645" w14:textId="4A493059" w:rsidR="00403661" w:rsidRDefault="00403661">
          <w:pPr>
            <w:pStyle w:val="TOC1"/>
            <w:rPr>
              <w:rFonts w:eastAsiaTheme="minorEastAsia"/>
              <w:bCs w:val="0"/>
              <w:noProof/>
              <w:kern w:val="2"/>
              <w:sz w:val="22"/>
              <w:szCs w:val="22"/>
              <w:lang w:eastAsia="en-GB"/>
              <w14:ligatures w14:val="standardContextual"/>
            </w:rPr>
          </w:pPr>
          <w:hyperlink w:anchor="_Toc165029565" w:history="1">
            <w:r w:rsidRPr="001F3079">
              <w:rPr>
                <w:rStyle w:val="Hyperlink"/>
                <w:rFonts w:cs="Arial"/>
                <w:noProof/>
              </w:rPr>
              <w:t>4.1.</w:t>
            </w:r>
            <w:r>
              <w:rPr>
                <w:rFonts w:eastAsiaTheme="minorEastAsia"/>
                <w:bCs w:val="0"/>
                <w:noProof/>
                <w:kern w:val="2"/>
                <w:sz w:val="22"/>
                <w:szCs w:val="22"/>
                <w:lang w:eastAsia="en-GB"/>
                <w14:ligatures w14:val="standardContextual"/>
              </w:rPr>
              <w:tab/>
            </w:r>
            <w:r w:rsidRPr="001F3079">
              <w:rPr>
                <w:rStyle w:val="Hyperlink"/>
                <w:noProof/>
              </w:rPr>
              <w:t>Drug group descriptions and coverage</w:t>
            </w:r>
            <w:r>
              <w:rPr>
                <w:noProof/>
                <w:webHidden/>
              </w:rPr>
              <w:tab/>
            </w:r>
            <w:r>
              <w:rPr>
                <w:noProof/>
                <w:webHidden/>
              </w:rPr>
              <w:fldChar w:fldCharType="begin"/>
            </w:r>
            <w:r>
              <w:rPr>
                <w:noProof/>
                <w:webHidden/>
              </w:rPr>
              <w:instrText xml:space="preserve"> PAGEREF _Toc165029565 \h </w:instrText>
            </w:r>
            <w:r>
              <w:rPr>
                <w:noProof/>
                <w:webHidden/>
              </w:rPr>
            </w:r>
            <w:r>
              <w:rPr>
                <w:noProof/>
                <w:webHidden/>
              </w:rPr>
              <w:fldChar w:fldCharType="separate"/>
            </w:r>
            <w:r>
              <w:rPr>
                <w:noProof/>
                <w:webHidden/>
              </w:rPr>
              <w:t>3</w:t>
            </w:r>
            <w:r>
              <w:rPr>
                <w:noProof/>
                <w:webHidden/>
              </w:rPr>
              <w:fldChar w:fldCharType="end"/>
            </w:r>
          </w:hyperlink>
        </w:p>
        <w:p w14:paraId="5CD4AED4" w14:textId="5F1C5291" w:rsidR="00403661" w:rsidRDefault="00403661">
          <w:pPr>
            <w:pStyle w:val="TOC1"/>
            <w:rPr>
              <w:rFonts w:eastAsiaTheme="minorEastAsia"/>
              <w:bCs w:val="0"/>
              <w:noProof/>
              <w:kern w:val="2"/>
              <w:sz w:val="22"/>
              <w:szCs w:val="22"/>
              <w:lang w:eastAsia="en-GB"/>
              <w14:ligatures w14:val="standardContextual"/>
            </w:rPr>
          </w:pPr>
          <w:hyperlink w:anchor="_Toc165029566" w:history="1">
            <w:r w:rsidRPr="001F3079">
              <w:rPr>
                <w:rStyle w:val="Hyperlink"/>
                <w:rFonts w:cs="Arial"/>
                <w:noProof/>
              </w:rPr>
              <w:t>4.2.</w:t>
            </w:r>
            <w:r>
              <w:rPr>
                <w:rFonts w:eastAsiaTheme="minorEastAsia"/>
                <w:bCs w:val="0"/>
                <w:noProof/>
                <w:kern w:val="2"/>
                <w:sz w:val="22"/>
                <w:szCs w:val="22"/>
                <w:lang w:eastAsia="en-GB"/>
                <w14:ligatures w14:val="standardContextual"/>
              </w:rPr>
              <w:tab/>
            </w:r>
            <w:r w:rsidRPr="001F3079">
              <w:rPr>
                <w:rStyle w:val="Hyperlink"/>
                <w:noProof/>
              </w:rPr>
              <w:t>Oversupply thresholds</w:t>
            </w:r>
            <w:r>
              <w:rPr>
                <w:noProof/>
                <w:webHidden/>
              </w:rPr>
              <w:tab/>
            </w:r>
            <w:r>
              <w:rPr>
                <w:noProof/>
                <w:webHidden/>
              </w:rPr>
              <w:fldChar w:fldCharType="begin"/>
            </w:r>
            <w:r>
              <w:rPr>
                <w:noProof/>
                <w:webHidden/>
              </w:rPr>
              <w:instrText xml:space="preserve"> PAGEREF _Toc165029566 \h </w:instrText>
            </w:r>
            <w:r>
              <w:rPr>
                <w:noProof/>
                <w:webHidden/>
              </w:rPr>
            </w:r>
            <w:r>
              <w:rPr>
                <w:noProof/>
                <w:webHidden/>
              </w:rPr>
              <w:fldChar w:fldCharType="separate"/>
            </w:r>
            <w:r>
              <w:rPr>
                <w:noProof/>
                <w:webHidden/>
              </w:rPr>
              <w:t>3</w:t>
            </w:r>
            <w:r>
              <w:rPr>
                <w:noProof/>
                <w:webHidden/>
              </w:rPr>
              <w:fldChar w:fldCharType="end"/>
            </w:r>
          </w:hyperlink>
        </w:p>
        <w:p w14:paraId="6643EC15" w14:textId="3282EC6E" w:rsidR="00403661" w:rsidRDefault="00403661">
          <w:pPr>
            <w:pStyle w:val="TOC1"/>
            <w:rPr>
              <w:rFonts w:eastAsiaTheme="minorEastAsia"/>
              <w:bCs w:val="0"/>
              <w:noProof/>
              <w:kern w:val="2"/>
              <w:sz w:val="22"/>
              <w:szCs w:val="22"/>
              <w:lang w:eastAsia="en-GB"/>
              <w14:ligatures w14:val="standardContextual"/>
            </w:rPr>
          </w:pPr>
          <w:hyperlink w:anchor="_Toc165029567" w:history="1">
            <w:r w:rsidRPr="001F3079">
              <w:rPr>
                <w:rStyle w:val="Hyperlink"/>
                <w:noProof/>
              </w:rPr>
              <w:t>4.3</w:t>
            </w:r>
            <w:r>
              <w:rPr>
                <w:rFonts w:eastAsiaTheme="minorEastAsia"/>
                <w:bCs w:val="0"/>
                <w:noProof/>
                <w:kern w:val="2"/>
                <w:sz w:val="22"/>
                <w:szCs w:val="22"/>
                <w:lang w:eastAsia="en-GB"/>
                <w14:ligatures w14:val="standardContextual"/>
              </w:rPr>
              <w:tab/>
            </w:r>
            <w:r w:rsidRPr="001F3079">
              <w:rPr>
                <w:rStyle w:val="Hyperlink"/>
                <w:noProof/>
              </w:rPr>
              <w:t>Prescription types</w:t>
            </w:r>
            <w:r>
              <w:rPr>
                <w:noProof/>
                <w:webHidden/>
              </w:rPr>
              <w:tab/>
            </w:r>
            <w:r>
              <w:rPr>
                <w:noProof/>
                <w:webHidden/>
              </w:rPr>
              <w:fldChar w:fldCharType="begin"/>
            </w:r>
            <w:r>
              <w:rPr>
                <w:noProof/>
                <w:webHidden/>
              </w:rPr>
              <w:instrText xml:space="preserve"> PAGEREF _Toc165029567 \h </w:instrText>
            </w:r>
            <w:r>
              <w:rPr>
                <w:noProof/>
                <w:webHidden/>
              </w:rPr>
            </w:r>
            <w:r>
              <w:rPr>
                <w:noProof/>
                <w:webHidden/>
              </w:rPr>
              <w:fldChar w:fldCharType="separate"/>
            </w:r>
            <w:r>
              <w:rPr>
                <w:noProof/>
                <w:webHidden/>
              </w:rPr>
              <w:t>4</w:t>
            </w:r>
            <w:r>
              <w:rPr>
                <w:noProof/>
                <w:webHidden/>
              </w:rPr>
              <w:fldChar w:fldCharType="end"/>
            </w:r>
          </w:hyperlink>
        </w:p>
        <w:p w14:paraId="56C4BF23" w14:textId="4182F3A0" w:rsidR="00403661" w:rsidRDefault="00403661">
          <w:pPr>
            <w:pStyle w:val="TOC1"/>
            <w:rPr>
              <w:rFonts w:eastAsiaTheme="minorEastAsia"/>
              <w:bCs w:val="0"/>
              <w:noProof/>
              <w:kern w:val="2"/>
              <w:sz w:val="22"/>
              <w:szCs w:val="22"/>
              <w:lang w:eastAsia="en-GB"/>
              <w14:ligatures w14:val="standardContextual"/>
            </w:rPr>
          </w:pPr>
          <w:hyperlink w:anchor="_Toc165029568" w:history="1">
            <w:r w:rsidRPr="001F3079">
              <w:rPr>
                <w:rStyle w:val="Hyperlink"/>
                <w:rFonts w:cstheme="minorHAnsi"/>
                <w:noProof/>
              </w:rPr>
              <w:t>5.</w:t>
            </w:r>
            <w:r>
              <w:rPr>
                <w:rFonts w:eastAsiaTheme="minorEastAsia"/>
                <w:bCs w:val="0"/>
                <w:noProof/>
                <w:kern w:val="2"/>
                <w:sz w:val="22"/>
                <w:szCs w:val="22"/>
                <w:lang w:eastAsia="en-GB"/>
                <w14:ligatures w14:val="standardContextual"/>
              </w:rPr>
              <w:tab/>
            </w:r>
            <w:r w:rsidRPr="001F3079">
              <w:rPr>
                <w:rStyle w:val="Hyperlink"/>
                <w:rFonts w:cstheme="minorHAnsi"/>
                <w:noProof/>
              </w:rPr>
              <w:t>Prescribing data</w:t>
            </w:r>
            <w:r>
              <w:rPr>
                <w:noProof/>
                <w:webHidden/>
              </w:rPr>
              <w:tab/>
            </w:r>
            <w:r>
              <w:rPr>
                <w:noProof/>
                <w:webHidden/>
              </w:rPr>
              <w:fldChar w:fldCharType="begin"/>
            </w:r>
            <w:r>
              <w:rPr>
                <w:noProof/>
                <w:webHidden/>
              </w:rPr>
              <w:instrText xml:space="preserve"> PAGEREF _Toc165029568 \h </w:instrText>
            </w:r>
            <w:r>
              <w:rPr>
                <w:noProof/>
                <w:webHidden/>
              </w:rPr>
            </w:r>
            <w:r>
              <w:rPr>
                <w:noProof/>
                <w:webHidden/>
              </w:rPr>
              <w:fldChar w:fldCharType="separate"/>
            </w:r>
            <w:r>
              <w:rPr>
                <w:noProof/>
                <w:webHidden/>
              </w:rPr>
              <w:t>5</w:t>
            </w:r>
            <w:r>
              <w:rPr>
                <w:noProof/>
                <w:webHidden/>
              </w:rPr>
              <w:fldChar w:fldCharType="end"/>
            </w:r>
          </w:hyperlink>
        </w:p>
        <w:p w14:paraId="54E595ED" w14:textId="4E3A21BF" w:rsidR="00403661" w:rsidRDefault="00403661">
          <w:pPr>
            <w:pStyle w:val="TOC1"/>
            <w:rPr>
              <w:rFonts w:eastAsiaTheme="minorEastAsia"/>
              <w:bCs w:val="0"/>
              <w:noProof/>
              <w:kern w:val="2"/>
              <w:sz w:val="22"/>
              <w:szCs w:val="22"/>
              <w:lang w:eastAsia="en-GB"/>
              <w14:ligatures w14:val="standardContextual"/>
            </w:rPr>
          </w:pPr>
          <w:hyperlink w:anchor="_Toc165029569" w:history="1">
            <w:r w:rsidRPr="001F3079">
              <w:rPr>
                <w:rStyle w:val="Hyperlink"/>
                <w:rFonts w:cstheme="minorHAnsi"/>
                <w:noProof/>
              </w:rPr>
              <w:t>5.</w:t>
            </w:r>
            <w:r>
              <w:rPr>
                <w:rFonts w:eastAsiaTheme="minorEastAsia"/>
                <w:bCs w:val="0"/>
                <w:noProof/>
                <w:kern w:val="2"/>
                <w:sz w:val="22"/>
                <w:szCs w:val="22"/>
                <w:lang w:eastAsia="en-GB"/>
                <w14:ligatures w14:val="standardContextual"/>
              </w:rPr>
              <w:tab/>
            </w:r>
            <w:r w:rsidRPr="001F3079">
              <w:rPr>
                <w:rStyle w:val="Hyperlink"/>
                <w:rFonts w:cstheme="minorHAnsi"/>
                <w:noProof/>
              </w:rPr>
              <w:t>Identified patients</w:t>
            </w:r>
            <w:r>
              <w:rPr>
                <w:noProof/>
                <w:webHidden/>
              </w:rPr>
              <w:tab/>
            </w:r>
            <w:r>
              <w:rPr>
                <w:noProof/>
                <w:webHidden/>
              </w:rPr>
              <w:fldChar w:fldCharType="begin"/>
            </w:r>
            <w:r>
              <w:rPr>
                <w:noProof/>
                <w:webHidden/>
              </w:rPr>
              <w:instrText xml:space="preserve"> PAGEREF _Toc165029569 \h </w:instrText>
            </w:r>
            <w:r>
              <w:rPr>
                <w:noProof/>
                <w:webHidden/>
              </w:rPr>
            </w:r>
            <w:r>
              <w:rPr>
                <w:noProof/>
                <w:webHidden/>
              </w:rPr>
              <w:fldChar w:fldCharType="separate"/>
            </w:r>
            <w:r>
              <w:rPr>
                <w:noProof/>
                <w:webHidden/>
              </w:rPr>
              <w:t>5</w:t>
            </w:r>
            <w:r>
              <w:rPr>
                <w:noProof/>
                <w:webHidden/>
              </w:rPr>
              <w:fldChar w:fldCharType="end"/>
            </w:r>
          </w:hyperlink>
        </w:p>
        <w:p w14:paraId="06B59ABD" w14:textId="61F95B10" w:rsidR="00403661" w:rsidRDefault="00403661">
          <w:pPr>
            <w:pStyle w:val="TOC1"/>
            <w:rPr>
              <w:rFonts w:eastAsiaTheme="minorEastAsia"/>
              <w:bCs w:val="0"/>
              <w:noProof/>
              <w:kern w:val="2"/>
              <w:sz w:val="22"/>
              <w:szCs w:val="22"/>
              <w:lang w:eastAsia="en-GB"/>
              <w14:ligatures w14:val="standardContextual"/>
            </w:rPr>
          </w:pPr>
          <w:hyperlink w:anchor="_Toc165029570" w:history="1">
            <w:r w:rsidRPr="001F3079">
              <w:rPr>
                <w:rStyle w:val="Hyperlink"/>
                <w:rFonts w:cs="Arial"/>
                <w:noProof/>
              </w:rPr>
              <w:t>5.1.</w:t>
            </w:r>
            <w:r>
              <w:rPr>
                <w:rFonts w:eastAsiaTheme="minorEastAsia"/>
                <w:bCs w:val="0"/>
                <w:noProof/>
                <w:kern w:val="2"/>
                <w:sz w:val="22"/>
                <w:szCs w:val="22"/>
                <w:lang w:eastAsia="en-GB"/>
                <w14:ligatures w14:val="standardContextual"/>
              </w:rPr>
              <w:tab/>
            </w:r>
            <w:r w:rsidRPr="001F3079">
              <w:rPr>
                <w:rStyle w:val="Hyperlink"/>
                <w:rFonts w:cstheme="minorHAnsi"/>
                <w:noProof/>
              </w:rPr>
              <w:t>NHS structure</w:t>
            </w:r>
            <w:r>
              <w:rPr>
                <w:noProof/>
                <w:webHidden/>
              </w:rPr>
              <w:tab/>
            </w:r>
            <w:r>
              <w:rPr>
                <w:noProof/>
                <w:webHidden/>
              </w:rPr>
              <w:fldChar w:fldCharType="begin"/>
            </w:r>
            <w:r>
              <w:rPr>
                <w:noProof/>
                <w:webHidden/>
              </w:rPr>
              <w:instrText xml:space="preserve"> PAGEREF _Toc165029570 \h </w:instrText>
            </w:r>
            <w:r>
              <w:rPr>
                <w:noProof/>
                <w:webHidden/>
              </w:rPr>
            </w:r>
            <w:r>
              <w:rPr>
                <w:noProof/>
                <w:webHidden/>
              </w:rPr>
              <w:fldChar w:fldCharType="separate"/>
            </w:r>
            <w:r>
              <w:rPr>
                <w:noProof/>
                <w:webHidden/>
              </w:rPr>
              <w:t>6</w:t>
            </w:r>
            <w:r>
              <w:rPr>
                <w:noProof/>
                <w:webHidden/>
              </w:rPr>
              <w:fldChar w:fldCharType="end"/>
            </w:r>
          </w:hyperlink>
        </w:p>
        <w:p w14:paraId="7FFDFEE0" w14:textId="5C86B72A" w:rsidR="00403661" w:rsidRDefault="00403661">
          <w:pPr>
            <w:pStyle w:val="TOC1"/>
            <w:rPr>
              <w:rFonts w:eastAsiaTheme="minorEastAsia"/>
              <w:bCs w:val="0"/>
              <w:noProof/>
              <w:kern w:val="2"/>
              <w:sz w:val="22"/>
              <w:szCs w:val="22"/>
              <w:lang w:eastAsia="en-GB"/>
              <w14:ligatures w14:val="standardContextual"/>
            </w:rPr>
          </w:pPr>
          <w:hyperlink w:anchor="_Toc165029571" w:history="1">
            <w:r w:rsidRPr="001F3079">
              <w:rPr>
                <w:rStyle w:val="Hyperlink"/>
                <w:rFonts w:cs="Arial"/>
                <w:noProof/>
              </w:rPr>
              <w:t>5.2.</w:t>
            </w:r>
            <w:r>
              <w:rPr>
                <w:rFonts w:eastAsiaTheme="minorEastAsia"/>
                <w:bCs w:val="0"/>
                <w:noProof/>
                <w:kern w:val="2"/>
                <w:sz w:val="22"/>
                <w:szCs w:val="22"/>
                <w:lang w:eastAsia="en-GB"/>
                <w14:ligatures w14:val="standardContextual"/>
              </w:rPr>
              <w:tab/>
            </w:r>
            <w:r w:rsidRPr="001F3079">
              <w:rPr>
                <w:rStyle w:val="Hyperlink"/>
                <w:rFonts w:cstheme="minorHAnsi"/>
                <w:noProof/>
              </w:rPr>
              <w:t>Other breakdowns</w:t>
            </w:r>
            <w:r>
              <w:rPr>
                <w:noProof/>
                <w:webHidden/>
              </w:rPr>
              <w:tab/>
            </w:r>
            <w:r>
              <w:rPr>
                <w:noProof/>
                <w:webHidden/>
              </w:rPr>
              <w:fldChar w:fldCharType="begin"/>
            </w:r>
            <w:r>
              <w:rPr>
                <w:noProof/>
                <w:webHidden/>
              </w:rPr>
              <w:instrText xml:space="preserve"> PAGEREF _Toc165029571 \h </w:instrText>
            </w:r>
            <w:r>
              <w:rPr>
                <w:noProof/>
                <w:webHidden/>
              </w:rPr>
            </w:r>
            <w:r>
              <w:rPr>
                <w:noProof/>
                <w:webHidden/>
              </w:rPr>
              <w:fldChar w:fldCharType="separate"/>
            </w:r>
            <w:r>
              <w:rPr>
                <w:noProof/>
                <w:webHidden/>
              </w:rPr>
              <w:t>6</w:t>
            </w:r>
            <w:r>
              <w:rPr>
                <w:noProof/>
                <w:webHidden/>
              </w:rPr>
              <w:fldChar w:fldCharType="end"/>
            </w:r>
          </w:hyperlink>
        </w:p>
        <w:p w14:paraId="4E27DCBF" w14:textId="143AD73E" w:rsidR="00403661" w:rsidRDefault="00403661">
          <w:pPr>
            <w:pStyle w:val="TOC1"/>
            <w:rPr>
              <w:rFonts w:eastAsiaTheme="minorEastAsia"/>
              <w:bCs w:val="0"/>
              <w:noProof/>
              <w:kern w:val="2"/>
              <w:sz w:val="22"/>
              <w:szCs w:val="22"/>
              <w:lang w:eastAsia="en-GB"/>
              <w14:ligatures w14:val="standardContextual"/>
            </w:rPr>
          </w:pPr>
          <w:hyperlink w:anchor="_Toc165029572" w:history="1">
            <w:r w:rsidRPr="001F3079">
              <w:rPr>
                <w:rStyle w:val="Hyperlink"/>
                <w:noProof/>
              </w:rPr>
              <w:t>6.</w:t>
            </w:r>
            <w:r>
              <w:rPr>
                <w:rFonts w:eastAsiaTheme="minorEastAsia"/>
                <w:bCs w:val="0"/>
                <w:noProof/>
                <w:kern w:val="2"/>
                <w:sz w:val="22"/>
                <w:szCs w:val="22"/>
                <w:lang w:eastAsia="en-GB"/>
                <w14:ligatures w14:val="standardContextual"/>
              </w:rPr>
              <w:tab/>
            </w:r>
            <w:r w:rsidRPr="001F3079">
              <w:rPr>
                <w:rStyle w:val="Hyperlink"/>
                <w:noProof/>
              </w:rPr>
              <w:t>Guiding principles</w:t>
            </w:r>
            <w:r>
              <w:rPr>
                <w:noProof/>
                <w:webHidden/>
              </w:rPr>
              <w:tab/>
            </w:r>
            <w:r>
              <w:rPr>
                <w:noProof/>
                <w:webHidden/>
              </w:rPr>
              <w:fldChar w:fldCharType="begin"/>
            </w:r>
            <w:r>
              <w:rPr>
                <w:noProof/>
                <w:webHidden/>
              </w:rPr>
              <w:instrText xml:space="preserve"> PAGEREF _Toc165029572 \h </w:instrText>
            </w:r>
            <w:r>
              <w:rPr>
                <w:noProof/>
                <w:webHidden/>
              </w:rPr>
            </w:r>
            <w:r>
              <w:rPr>
                <w:noProof/>
                <w:webHidden/>
              </w:rPr>
              <w:fldChar w:fldCharType="separate"/>
            </w:r>
            <w:r>
              <w:rPr>
                <w:noProof/>
                <w:webHidden/>
              </w:rPr>
              <w:t>6</w:t>
            </w:r>
            <w:r>
              <w:rPr>
                <w:noProof/>
                <w:webHidden/>
              </w:rPr>
              <w:fldChar w:fldCharType="end"/>
            </w:r>
          </w:hyperlink>
        </w:p>
        <w:p w14:paraId="6A4C7183" w14:textId="25BDB981" w:rsidR="00403661" w:rsidRDefault="00403661">
          <w:pPr>
            <w:pStyle w:val="TOC1"/>
            <w:rPr>
              <w:rFonts w:eastAsiaTheme="minorEastAsia"/>
              <w:bCs w:val="0"/>
              <w:noProof/>
              <w:kern w:val="2"/>
              <w:sz w:val="22"/>
              <w:szCs w:val="22"/>
              <w:lang w:eastAsia="en-GB"/>
              <w14:ligatures w14:val="standardContextual"/>
            </w:rPr>
          </w:pPr>
          <w:hyperlink w:anchor="_Toc165029573" w:history="1">
            <w:r w:rsidRPr="001F3079">
              <w:rPr>
                <w:rStyle w:val="Hyperlink"/>
                <w:rFonts w:cstheme="minorHAnsi"/>
                <w:noProof/>
              </w:rPr>
              <w:t>7.</w:t>
            </w:r>
            <w:r>
              <w:rPr>
                <w:rFonts w:eastAsiaTheme="minorEastAsia"/>
                <w:bCs w:val="0"/>
                <w:noProof/>
                <w:kern w:val="2"/>
                <w:sz w:val="22"/>
                <w:szCs w:val="22"/>
                <w:lang w:eastAsia="en-GB"/>
                <w14:ligatures w14:val="standardContextual"/>
              </w:rPr>
              <w:tab/>
            </w:r>
            <w:r w:rsidRPr="001F3079">
              <w:rPr>
                <w:rStyle w:val="Hyperlink"/>
                <w:rFonts w:cstheme="minorHAnsi"/>
                <w:noProof/>
              </w:rPr>
              <w:t>Comparator Specifications</w:t>
            </w:r>
            <w:r>
              <w:rPr>
                <w:noProof/>
                <w:webHidden/>
              </w:rPr>
              <w:tab/>
            </w:r>
            <w:r>
              <w:rPr>
                <w:noProof/>
                <w:webHidden/>
              </w:rPr>
              <w:fldChar w:fldCharType="begin"/>
            </w:r>
            <w:r>
              <w:rPr>
                <w:noProof/>
                <w:webHidden/>
              </w:rPr>
              <w:instrText xml:space="preserve"> PAGEREF _Toc165029573 \h </w:instrText>
            </w:r>
            <w:r>
              <w:rPr>
                <w:noProof/>
                <w:webHidden/>
              </w:rPr>
            </w:r>
            <w:r>
              <w:rPr>
                <w:noProof/>
                <w:webHidden/>
              </w:rPr>
              <w:fldChar w:fldCharType="separate"/>
            </w:r>
            <w:r>
              <w:rPr>
                <w:noProof/>
                <w:webHidden/>
              </w:rPr>
              <w:t>7</w:t>
            </w:r>
            <w:r>
              <w:rPr>
                <w:noProof/>
                <w:webHidden/>
              </w:rPr>
              <w:fldChar w:fldCharType="end"/>
            </w:r>
          </w:hyperlink>
        </w:p>
        <w:p w14:paraId="11AB9E89" w14:textId="74EFF826" w:rsidR="00403661" w:rsidRDefault="00403661">
          <w:pPr>
            <w:pStyle w:val="TOC1"/>
            <w:rPr>
              <w:rFonts w:eastAsiaTheme="minorEastAsia"/>
              <w:bCs w:val="0"/>
              <w:noProof/>
              <w:kern w:val="2"/>
              <w:sz w:val="22"/>
              <w:szCs w:val="22"/>
              <w:lang w:eastAsia="en-GB"/>
              <w14:ligatures w14:val="standardContextual"/>
            </w:rPr>
          </w:pPr>
          <w:hyperlink w:anchor="_Toc165029574" w:history="1">
            <w:r w:rsidRPr="001F3079">
              <w:rPr>
                <w:rStyle w:val="Hyperlink"/>
                <w:rFonts w:cs="Arial"/>
                <w:noProof/>
              </w:rPr>
              <w:t>7.1.</w:t>
            </w:r>
            <w:r>
              <w:rPr>
                <w:rFonts w:eastAsiaTheme="minorEastAsia"/>
                <w:bCs w:val="0"/>
                <w:noProof/>
                <w:kern w:val="2"/>
                <w:sz w:val="22"/>
                <w:szCs w:val="22"/>
                <w:lang w:eastAsia="en-GB"/>
                <w14:ligatures w14:val="standardContextual"/>
              </w:rPr>
              <w:tab/>
            </w:r>
            <w:r w:rsidRPr="001F3079">
              <w:rPr>
                <w:rStyle w:val="Hyperlink"/>
                <w:rFonts w:cstheme="minorHAnsi"/>
                <w:noProof/>
              </w:rPr>
              <w:t>Patient comparators</w:t>
            </w:r>
            <w:r>
              <w:rPr>
                <w:noProof/>
                <w:webHidden/>
              </w:rPr>
              <w:tab/>
            </w:r>
            <w:r>
              <w:rPr>
                <w:noProof/>
                <w:webHidden/>
              </w:rPr>
              <w:fldChar w:fldCharType="begin"/>
            </w:r>
            <w:r>
              <w:rPr>
                <w:noProof/>
                <w:webHidden/>
              </w:rPr>
              <w:instrText xml:space="preserve"> PAGEREF _Toc165029574 \h </w:instrText>
            </w:r>
            <w:r>
              <w:rPr>
                <w:noProof/>
                <w:webHidden/>
              </w:rPr>
            </w:r>
            <w:r>
              <w:rPr>
                <w:noProof/>
                <w:webHidden/>
              </w:rPr>
              <w:fldChar w:fldCharType="separate"/>
            </w:r>
            <w:r>
              <w:rPr>
                <w:noProof/>
                <w:webHidden/>
              </w:rPr>
              <w:t>7</w:t>
            </w:r>
            <w:r>
              <w:rPr>
                <w:noProof/>
                <w:webHidden/>
              </w:rPr>
              <w:fldChar w:fldCharType="end"/>
            </w:r>
          </w:hyperlink>
        </w:p>
        <w:p w14:paraId="7FEDAF7A" w14:textId="25C5F202" w:rsidR="00403661" w:rsidRDefault="00403661">
          <w:pPr>
            <w:pStyle w:val="TOC2"/>
            <w:tabs>
              <w:tab w:val="right" w:leader="dot" w:pos="9016"/>
            </w:tabs>
            <w:rPr>
              <w:rFonts w:eastAsiaTheme="minorEastAsia"/>
              <w:bCs w:val="0"/>
              <w:noProof/>
              <w:kern w:val="2"/>
              <w:sz w:val="22"/>
              <w:szCs w:val="22"/>
              <w:lang w:eastAsia="en-GB"/>
              <w14:ligatures w14:val="standardContextual"/>
            </w:rPr>
          </w:pPr>
          <w:hyperlink w:anchor="_Toc165029575" w:history="1">
            <w:r w:rsidRPr="001F3079">
              <w:rPr>
                <w:rStyle w:val="Hyperlink"/>
                <w:noProof/>
              </w:rPr>
              <w:t>% Over threshold patients</w:t>
            </w:r>
            <w:r>
              <w:rPr>
                <w:noProof/>
                <w:webHidden/>
              </w:rPr>
              <w:tab/>
            </w:r>
            <w:r>
              <w:rPr>
                <w:noProof/>
                <w:webHidden/>
              </w:rPr>
              <w:fldChar w:fldCharType="begin"/>
            </w:r>
            <w:r>
              <w:rPr>
                <w:noProof/>
                <w:webHidden/>
              </w:rPr>
              <w:instrText xml:space="preserve"> PAGEREF _Toc165029575 \h </w:instrText>
            </w:r>
            <w:r>
              <w:rPr>
                <w:noProof/>
                <w:webHidden/>
              </w:rPr>
            </w:r>
            <w:r>
              <w:rPr>
                <w:noProof/>
                <w:webHidden/>
              </w:rPr>
              <w:fldChar w:fldCharType="separate"/>
            </w:r>
            <w:r>
              <w:rPr>
                <w:noProof/>
                <w:webHidden/>
              </w:rPr>
              <w:t>7</w:t>
            </w:r>
            <w:r>
              <w:rPr>
                <w:noProof/>
                <w:webHidden/>
              </w:rPr>
              <w:fldChar w:fldCharType="end"/>
            </w:r>
          </w:hyperlink>
        </w:p>
        <w:p w14:paraId="5C71E6FC" w14:textId="69AC251D" w:rsidR="00403661" w:rsidRDefault="00403661">
          <w:pPr>
            <w:pStyle w:val="TOC1"/>
            <w:rPr>
              <w:rFonts w:eastAsiaTheme="minorEastAsia"/>
              <w:bCs w:val="0"/>
              <w:noProof/>
              <w:kern w:val="2"/>
              <w:sz w:val="22"/>
              <w:szCs w:val="22"/>
              <w:lang w:eastAsia="en-GB"/>
              <w14:ligatures w14:val="standardContextual"/>
            </w:rPr>
          </w:pPr>
          <w:hyperlink w:anchor="_Toc165029576" w:history="1">
            <w:r w:rsidRPr="001F3079">
              <w:rPr>
                <w:rStyle w:val="Hyperlink"/>
                <w:rFonts w:cs="Arial"/>
                <w:noProof/>
              </w:rPr>
              <w:t>7.2.</w:t>
            </w:r>
            <w:r>
              <w:rPr>
                <w:rFonts w:eastAsiaTheme="minorEastAsia"/>
                <w:bCs w:val="0"/>
                <w:noProof/>
                <w:kern w:val="2"/>
                <w:sz w:val="22"/>
                <w:szCs w:val="22"/>
                <w:lang w:eastAsia="en-GB"/>
                <w14:ligatures w14:val="standardContextual"/>
              </w:rPr>
              <w:tab/>
            </w:r>
            <w:r w:rsidRPr="001F3079">
              <w:rPr>
                <w:rStyle w:val="Hyperlink"/>
                <w:rFonts w:cstheme="minorHAnsi"/>
                <w:noProof/>
              </w:rPr>
              <w:t>Quantity comparators</w:t>
            </w:r>
            <w:r>
              <w:rPr>
                <w:noProof/>
                <w:webHidden/>
              </w:rPr>
              <w:tab/>
            </w:r>
            <w:r>
              <w:rPr>
                <w:noProof/>
                <w:webHidden/>
              </w:rPr>
              <w:fldChar w:fldCharType="begin"/>
            </w:r>
            <w:r>
              <w:rPr>
                <w:noProof/>
                <w:webHidden/>
              </w:rPr>
              <w:instrText xml:space="preserve"> PAGEREF _Toc165029576 \h </w:instrText>
            </w:r>
            <w:r>
              <w:rPr>
                <w:noProof/>
                <w:webHidden/>
              </w:rPr>
            </w:r>
            <w:r>
              <w:rPr>
                <w:noProof/>
                <w:webHidden/>
              </w:rPr>
              <w:fldChar w:fldCharType="separate"/>
            </w:r>
            <w:r>
              <w:rPr>
                <w:noProof/>
                <w:webHidden/>
              </w:rPr>
              <w:t>7</w:t>
            </w:r>
            <w:r>
              <w:rPr>
                <w:noProof/>
                <w:webHidden/>
              </w:rPr>
              <w:fldChar w:fldCharType="end"/>
            </w:r>
          </w:hyperlink>
        </w:p>
        <w:p w14:paraId="18B74191" w14:textId="1EC0653E" w:rsidR="00403661" w:rsidRDefault="00403661">
          <w:pPr>
            <w:pStyle w:val="TOC2"/>
            <w:tabs>
              <w:tab w:val="right" w:leader="dot" w:pos="9016"/>
            </w:tabs>
            <w:rPr>
              <w:rFonts w:eastAsiaTheme="minorEastAsia"/>
              <w:bCs w:val="0"/>
              <w:noProof/>
              <w:kern w:val="2"/>
              <w:sz w:val="22"/>
              <w:szCs w:val="22"/>
              <w:lang w:eastAsia="en-GB"/>
              <w14:ligatures w14:val="standardContextual"/>
            </w:rPr>
          </w:pPr>
          <w:hyperlink w:anchor="_Toc165029577" w:history="1">
            <w:r w:rsidRPr="001F3079">
              <w:rPr>
                <w:rStyle w:val="Hyperlink"/>
                <w:noProof/>
              </w:rPr>
              <w:t>% Over threshold quantity</w:t>
            </w:r>
            <w:r>
              <w:rPr>
                <w:noProof/>
                <w:webHidden/>
              </w:rPr>
              <w:tab/>
            </w:r>
            <w:r>
              <w:rPr>
                <w:noProof/>
                <w:webHidden/>
              </w:rPr>
              <w:fldChar w:fldCharType="begin"/>
            </w:r>
            <w:r>
              <w:rPr>
                <w:noProof/>
                <w:webHidden/>
              </w:rPr>
              <w:instrText xml:space="preserve"> PAGEREF _Toc165029577 \h </w:instrText>
            </w:r>
            <w:r>
              <w:rPr>
                <w:noProof/>
                <w:webHidden/>
              </w:rPr>
            </w:r>
            <w:r>
              <w:rPr>
                <w:noProof/>
                <w:webHidden/>
              </w:rPr>
              <w:fldChar w:fldCharType="separate"/>
            </w:r>
            <w:r>
              <w:rPr>
                <w:noProof/>
                <w:webHidden/>
              </w:rPr>
              <w:t>7</w:t>
            </w:r>
            <w:r>
              <w:rPr>
                <w:noProof/>
                <w:webHidden/>
              </w:rPr>
              <w:fldChar w:fldCharType="end"/>
            </w:r>
          </w:hyperlink>
        </w:p>
        <w:p w14:paraId="495B205B" w14:textId="547F88C2" w:rsidR="00403661" w:rsidRDefault="00403661">
          <w:pPr>
            <w:pStyle w:val="TOC2"/>
            <w:tabs>
              <w:tab w:val="right" w:leader="dot" w:pos="9016"/>
            </w:tabs>
            <w:rPr>
              <w:rFonts w:eastAsiaTheme="minorEastAsia"/>
              <w:bCs w:val="0"/>
              <w:noProof/>
              <w:kern w:val="2"/>
              <w:sz w:val="22"/>
              <w:szCs w:val="22"/>
              <w:lang w:eastAsia="en-GB"/>
              <w14:ligatures w14:val="standardContextual"/>
            </w:rPr>
          </w:pPr>
          <w:hyperlink w:anchor="_Toc165029578" w:history="1">
            <w:r w:rsidRPr="001F3079">
              <w:rPr>
                <w:rStyle w:val="Hyperlink"/>
                <w:noProof/>
              </w:rPr>
              <w:t>Threshold quantity</w:t>
            </w:r>
            <w:r>
              <w:rPr>
                <w:noProof/>
                <w:webHidden/>
              </w:rPr>
              <w:tab/>
            </w:r>
            <w:r>
              <w:rPr>
                <w:noProof/>
                <w:webHidden/>
              </w:rPr>
              <w:fldChar w:fldCharType="begin"/>
            </w:r>
            <w:r>
              <w:rPr>
                <w:noProof/>
                <w:webHidden/>
              </w:rPr>
              <w:instrText xml:space="preserve"> PAGEREF _Toc165029578 \h </w:instrText>
            </w:r>
            <w:r>
              <w:rPr>
                <w:noProof/>
                <w:webHidden/>
              </w:rPr>
            </w:r>
            <w:r>
              <w:rPr>
                <w:noProof/>
                <w:webHidden/>
              </w:rPr>
              <w:fldChar w:fldCharType="separate"/>
            </w:r>
            <w:r>
              <w:rPr>
                <w:noProof/>
                <w:webHidden/>
              </w:rPr>
              <w:t>8</w:t>
            </w:r>
            <w:r>
              <w:rPr>
                <w:noProof/>
                <w:webHidden/>
              </w:rPr>
              <w:fldChar w:fldCharType="end"/>
            </w:r>
          </w:hyperlink>
        </w:p>
        <w:p w14:paraId="47F5243E" w14:textId="2A2AC8CE" w:rsidR="00403661" w:rsidRDefault="00403661">
          <w:pPr>
            <w:pStyle w:val="TOC2"/>
            <w:tabs>
              <w:tab w:val="right" w:leader="dot" w:pos="9016"/>
            </w:tabs>
            <w:rPr>
              <w:rFonts w:eastAsiaTheme="minorEastAsia"/>
              <w:bCs w:val="0"/>
              <w:noProof/>
              <w:kern w:val="2"/>
              <w:sz w:val="22"/>
              <w:szCs w:val="22"/>
              <w:lang w:eastAsia="en-GB"/>
              <w14:ligatures w14:val="standardContextual"/>
            </w:rPr>
          </w:pPr>
          <w:hyperlink w:anchor="_Toc165029579" w:history="1">
            <w:r w:rsidRPr="001F3079">
              <w:rPr>
                <w:rStyle w:val="Hyperlink"/>
                <w:noProof/>
              </w:rPr>
              <w:t>Highest number of quantities prescribed to an individual patient over 12 months</w:t>
            </w:r>
            <w:r>
              <w:rPr>
                <w:noProof/>
                <w:webHidden/>
              </w:rPr>
              <w:tab/>
            </w:r>
            <w:r>
              <w:rPr>
                <w:noProof/>
                <w:webHidden/>
              </w:rPr>
              <w:fldChar w:fldCharType="begin"/>
            </w:r>
            <w:r>
              <w:rPr>
                <w:noProof/>
                <w:webHidden/>
              </w:rPr>
              <w:instrText xml:space="preserve"> PAGEREF _Toc165029579 \h </w:instrText>
            </w:r>
            <w:r>
              <w:rPr>
                <w:noProof/>
                <w:webHidden/>
              </w:rPr>
            </w:r>
            <w:r>
              <w:rPr>
                <w:noProof/>
                <w:webHidden/>
              </w:rPr>
              <w:fldChar w:fldCharType="separate"/>
            </w:r>
            <w:r>
              <w:rPr>
                <w:noProof/>
                <w:webHidden/>
              </w:rPr>
              <w:t>8</w:t>
            </w:r>
            <w:r>
              <w:rPr>
                <w:noProof/>
                <w:webHidden/>
              </w:rPr>
              <w:fldChar w:fldCharType="end"/>
            </w:r>
          </w:hyperlink>
        </w:p>
        <w:p w14:paraId="227C288E" w14:textId="44177149" w:rsidR="00403661" w:rsidRDefault="00403661">
          <w:pPr>
            <w:pStyle w:val="TOC2"/>
            <w:tabs>
              <w:tab w:val="right" w:leader="dot" w:pos="9016"/>
            </w:tabs>
            <w:rPr>
              <w:rFonts w:eastAsiaTheme="minorEastAsia"/>
              <w:bCs w:val="0"/>
              <w:noProof/>
              <w:kern w:val="2"/>
              <w:sz w:val="22"/>
              <w:szCs w:val="22"/>
              <w:lang w:eastAsia="en-GB"/>
              <w14:ligatures w14:val="standardContextual"/>
            </w:rPr>
          </w:pPr>
          <w:hyperlink w:anchor="_Toc165029580" w:history="1">
            <w:r w:rsidRPr="001F3079">
              <w:rPr>
                <w:rStyle w:val="Hyperlink"/>
                <w:noProof/>
              </w:rPr>
              <w:t>Average quantity above threshold over 12 months</w:t>
            </w:r>
            <w:r>
              <w:rPr>
                <w:noProof/>
                <w:webHidden/>
              </w:rPr>
              <w:tab/>
            </w:r>
            <w:r>
              <w:rPr>
                <w:noProof/>
                <w:webHidden/>
              </w:rPr>
              <w:fldChar w:fldCharType="begin"/>
            </w:r>
            <w:r>
              <w:rPr>
                <w:noProof/>
                <w:webHidden/>
              </w:rPr>
              <w:instrText xml:space="preserve"> PAGEREF _Toc165029580 \h </w:instrText>
            </w:r>
            <w:r>
              <w:rPr>
                <w:noProof/>
                <w:webHidden/>
              </w:rPr>
            </w:r>
            <w:r>
              <w:rPr>
                <w:noProof/>
                <w:webHidden/>
              </w:rPr>
              <w:fldChar w:fldCharType="separate"/>
            </w:r>
            <w:r>
              <w:rPr>
                <w:noProof/>
                <w:webHidden/>
              </w:rPr>
              <w:t>9</w:t>
            </w:r>
            <w:r>
              <w:rPr>
                <w:noProof/>
                <w:webHidden/>
              </w:rPr>
              <w:fldChar w:fldCharType="end"/>
            </w:r>
          </w:hyperlink>
        </w:p>
        <w:p w14:paraId="102C94BF" w14:textId="7B1DE508" w:rsidR="00403661" w:rsidRDefault="00403661">
          <w:pPr>
            <w:pStyle w:val="TOC1"/>
            <w:rPr>
              <w:rFonts w:eastAsiaTheme="minorEastAsia"/>
              <w:bCs w:val="0"/>
              <w:noProof/>
              <w:kern w:val="2"/>
              <w:sz w:val="22"/>
              <w:szCs w:val="22"/>
              <w:lang w:eastAsia="en-GB"/>
              <w14:ligatures w14:val="standardContextual"/>
            </w:rPr>
          </w:pPr>
          <w:hyperlink w:anchor="_Toc165029581" w:history="1">
            <w:r w:rsidRPr="001F3079">
              <w:rPr>
                <w:rStyle w:val="Hyperlink"/>
                <w:rFonts w:cs="Arial"/>
                <w:noProof/>
              </w:rPr>
              <w:t>7.3.</w:t>
            </w:r>
            <w:r>
              <w:rPr>
                <w:rFonts w:eastAsiaTheme="minorEastAsia"/>
                <w:bCs w:val="0"/>
                <w:noProof/>
                <w:kern w:val="2"/>
                <w:sz w:val="22"/>
                <w:szCs w:val="22"/>
                <w:lang w:eastAsia="en-GB"/>
                <w14:ligatures w14:val="standardContextual"/>
              </w:rPr>
              <w:tab/>
            </w:r>
            <w:r w:rsidRPr="001F3079">
              <w:rPr>
                <w:rStyle w:val="Hyperlink"/>
                <w:rFonts w:cstheme="minorHAnsi"/>
                <w:noProof/>
              </w:rPr>
              <w:t>Cost comparators</w:t>
            </w:r>
            <w:r>
              <w:rPr>
                <w:noProof/>
                <w:webHidden/>
              </w:rPr>
              <w:tab/>
            </w:r>
            <w:r>
              <w:rPr>
                <w:noProof/>
                <w:webHidden/>
              </w:rPr>
              <w:fldChar w:fldCharType="begin"/>
            </w:r>
            <w:r>
              <w:rPr>
                <w:noProof/>
                <w:webHidden/>
              </w:rPr>
              <w:instrText xml:space="preserve"> PAGEREF _Toc165029581 \h </w:instrText>
            </w:r>
            <w:r>
              <w:rPr>
                <w:noProof/>
                <w:webHidden/>
              </w:rPr>
            </w:r>
            <w:r>
              <w:rPr>
                <w:noProof/>
                <w:webHidden/>
              </w:rPr>
              <w:fldChar w:fldCharType="separate"/>
            </w:r>
            <w:r>
              <w:rPr>
                <w:noProof/>
                <w:webHidden/>
              </w:rPr>
              <w:t>9</w:t>
            </w:r>
            <w:r>
              <w:rPr>
                <w:noProof/>
                <w:webHidden/>
              </w:rPr>
              <w:fldChar w:fldCharType="end"/>
            </w:r>
          </w:hyperlink>
        </w:p>
        <w:p w14:paraId="19532FF7" w14:textId="31CA7648" w:rsidR="00403661" w:rsidRDefault="00403661">
          <w:pPr>
            <w:pStyle w:val="TOC2"/>
            <w:tabs>
              <w:tab w:val="right" w:leader="dot" w:pos="9016"/>
            </w:tabs>
            <w:rPr>
              <w:rFonts w:eastAsiaTheme="minorEastAsia"/>
              <w:bCs w:val="0"/>
              <w:noProof/>
              <w:kern w:val="2"/>
              <w:sz w:val="22"/>
              <w:szCs w:val="22"/>
              <w:lang w:eastAsia="en-GB"/>
              <w14:ligatures w14:val="standardContextual"/>
            </w:rPr>
          </w:pPr>
          <w:hyperlink w:anchor="_Toc165029582" w:history="1">
            <w:r w:rsidRPr="001F3079">
              <w:rPr>
                <w:rStyle w:val="Hyperlink"/>
                <w:noProof/>
              </w:rPr>
              <w:t>Over threshold NIC</w:t>
            </w:r>
            <w:r>
              <w:rPr>
                <w:noProof/>
                <w:webHidden/>
              </w:rPr>
              <w:tab/>
            </w:r>
            <w:r>
              <w:rPr>
                <w:noProof/>
                <w:webHidden/>
              </w:rPr>
              <w:fldChar w:fldCharType="begin"/>
            </w:r>
            <w:r>
              <w:rPr>
                <w:noProof/>
                <w:webHidden/>
              </w:rPr>
              <w:instrText xml:space="preserve"> PAGEREF _Toc165029582 \h </w:instrText>
            </w:r>
            <w:r>
              <w:rPr>
                <w:noProof/>
                <w:webHidden/>
              </w:rPr>
            </w:r>
            <w:r>
              <w:rPr>
                <w:noProof/>
                <w:webHidden/>
              </w:rPr>
              <w:fldChar w:fldCharType="separate"/>
            </w:r>
            <w:r>
              <w:rPr>
                <w:noProof/>
                <w:webHidden/>
              </w:rPr>
              <w:t>9</w:t>
            </w:r>
            <w:r>
              <w:rPr>
                <w:noProof/>
                <w:webHidden/>
              </w:rPr>
              <w:fldChar w:fldCharType="end"/>
            </w:r>
          </w:hyperlink>
        </w:p>
        <w:p w14:paraId="2763E2A2" w14:textId="3B042DE0" w:rsidR="00403661" w:rsidRDefault="00403661">
          <w:pPr>
            <w:pStyle w:val="TOC2"/>
            <w:tabs>
              <w:tab w:val="right" w:leader="dot" w:pos="9016"/>
            </w:tabs>
            <w:rPr>
              <w:rFonts w:eastAsiaTheme="minorEastAsia"/>
              <w:bCs w:val="0"/>
              <w:noProof/>
              <w:kern w:val="2"/>
              <w:sz w:val="22"/>
              <w:szCs w:val="22"/>
              <w:lang w:eastAsia="en-GB"/>
              <w14:ligatures w14:val="standardContextual"/>
            </w:rPr>
          </w:pPr>
          <w:hyperlink w:anchor="_Toc165029583" w:history="1">
            <w:r w:rsidRPr="001F3079">
              <w:rPr>
                <w:rStyle w:val="Hyperlink"/>
                <w:noProof/>
              </w:rPr>
              <w:t>% over threshold NIC</w:t>
            </w:r>
            <w:r>
              <w:rPr>
                <w:noProof/>
                <w:webHidden/>
              </w:rPr>
              <w:tab/>
            </w:r>
            <w:r>
              <w:rPr>
                <w:noProof/>
                <w:webHidden/>
              </w:rPr>
              <w:fldChar w:fldCharType="begin"/>
            </w:r>
            <w:r>
              <w:rPr>
                <w:noProof/>
                <w:webHidden/>
              </w:rPr>
              <w:instrText xml:space="preserve"> PAGEREF _Toc165029583 \h </w:instrText>
            </w:r>
            <w:r>
              <w:rPr>
                <w:noProof/>
                <w:webHidden/>
              </w:rPr>
            </w:r>
            <w:r>
              <w:rPr>
                <w:noProof/>
                <w:webHidden/>
              </w:rPr>
              <w:fldChar w:fldCharType="separate"/>
            </w:r>
            <w:r>
              <w:rPr>
                <w:noProof/>
                <w:webHidden/>
              </w:rPr>
              <w:t>9</w:t>
            </w:r>
            <w:r>
              <w:rPr>
                <w:noProof/>
                <w:webHidden/>
              </w:rPr>
              <w:fldChar w:fldCharType="end"/>
            </w:r>
          </w:hyperlink>
        </w:p>
        <w:p w14:paraId="3DFA3AC4" w14:textId="5A02D1E7" w:rsidR="00403661" w:rsidRDefault="00403661">
          <w:pPr>
            <w:pStyle w:val="TOC2"/>
            <w:tabs>
              <w:tab w:val="right" w:leader="dot" w:pos="9016"/>
            </w:tabs>
            <w:rPr>
              <w:rFonts w:eastAsiaTheme="minorEastAsia"/>
              <w:bCs w:val="0"/>
              <w:noProof/>
              <w:kern w:val="2"/>
              <w:sz w:val="22"/>
              <w:szCs w:val="22"/>
              <w:lang w:eastAsia="en-GB"/>
              <w14:ligatures w14:val="standardContextual"/>
            </w:rPr>
          </w:pPr>
          <w:hyperlink w:anchor="_Toc165029584" w:history="1">
            <w:r w:rsidRPr="001F3079">
              <w:rPr>
                <w:rStyle w:val="Hyperlink"/>
                <w:noProof/>
              </w:rPr>
              <w:t>Cost if over threshold patients were at threshold</w:t>
            </w:r>
            <w:r>
              <w:rPr>
                <w:noProof/>
                <w:webHidden/>
              </w:rPr>
              <w:tab/>
            </w:r>
            <w:r>
              <w:rPr>
                <w:noProof/>
                <w:webHidden/>
              </w:rPr>
              <w:fldChar w:fldCharType="begin"/>
            </w:r>
            <w:r>
              <w:rPr>
                <w:noProof/>
                <w:webHidden/>
              </w:rPr>
              <w:instrText xml:space="preserve"> PAGEREF _Toc165029584 \h </w:instrText>
            </w:r>
            <w:r>
              <w:rPr>
                <w:noProof/>
                <w:webHidden/>
              </w:rPr>
            </w:r>
            <w:r>
              <w:rPr>
                <w:noProof/>
                <w:webHidden/>
              </w:rPr>
              <w:fldChar w:fldCharType="separate"/>
            </w:r>
            <w:r>
              <w:rPr>
                <w:noProof/>
                <w:webHidden/>
              </w:rPr>
              <w:t>10</w:t>
            </w:r>
            <w:r>
              <w:rPr>
                <w:noProof/>
                <w:webHidden/>
              </w:rPr>
              <w:fldChar w:fldCharType="end"/>
            </w:r>
          </w:hyperlink>
        </w:p>
        <w:p w14:paraId="43AD49D8" w14:textId="2ECDEC74" w:rsidR="00403661" w:rsidRDefault="00403661">
          <w:pPr>
            <w:pStyle w:val="TOC2"/>
            <w:tabs>
              <w:tab w:val="right" w:leader="dot" w:pos="9016"/>
            </w:tabs>
            <w:rPr>
              <w:rFonts w:eastAsiaTheme="minorEastAsia"/>
              <w:bCs w:val="0"/>
              <w:noProof/>
              <w:kern w:val="2"/>
              <w:sz w:val="22"/>
              <w:szCs w:val="22"/>
              <w:lang w:eastAsia="en-GB"/>
              <w14:ligatures w14:val="standardContextual"/>
            </w:rPr>
          </w:pPr>
          <w:hyperlink w:anchor="_Toc165029585" w:history="1">
            <w:r w:rsidRPr="001F3079">
              <w:rPr>
                <w:rStyle w:val="Hyperlink"/>
                <w:noProof/>
              </w:rPr>
              <w:t>Savings if over threshold patients were at threshold</w:t>
            </w:r>
            <w:r>
              <w:rPr>
                <w:noProof/>
                <w:webHidden/>
              </w:rPr>
              <w:tab/>
            </w:r>
            <w:r>
              <w:rPr>
                <w:noProof/>
                <w:webHidden/>
              </w:rPr>
              <w:fldChar w:fldCharType="begin"/>
            </w:r>
            <w:r>
              <w:rPr>
                <w:noProof/>
                <w:webHidden/>
              </w:rPr>
              <w:instrText xml:space="preserve"> PAGEREF _Toc165029585 \h </w:instrText>
            </w:r>
            <w:r>
              <w:rPr>
                <w:noProof/>
                <w:webHidden/>
              </w:rPr>
            </w:r>
            <w:r>
              <w:rPr>
                <w:noProof/>
                <w:webHidden/>
              </w:rPr>
              <w:fldChar w:fldCharType="separate"/>
            </w:r>
            <w:r>
              <w:rPr>
                <w:noProof/>
                <w:webHidden/>
              </w:rPr>
              <w:t>10</w:t>
            </w:r>
            <w:r>
              <w:rPr>
                <w:noProof/>
                <w:webHidden/>
              </w:rPr>
              <w:fldChar w:fldCharType="end"/>
            </w:r>
          </w:hyperlink>
        </w:p>
        <w:p w14:paraId="69F6B8BC" w14:textId="08491126" w:rsidR="00403661" w:rsidRDefault="00403661">
          <w:pPr>
            <w:pStyle w:val="TOC1"/>
            <w:rPr>
              <w:rFonts w:eastAsiaTheme="minorEastAsia"/>
              <w:bCs w:val="0"/>
              <w:noProof/>
              <w:kern w:val="2"/>
              <w:sz w:val="22"/>
              <w:szCs w:val="22"/>
              <w:lang w:eastAsia="en-GB"/>
              <w14:ligatures w14:val="standardContextual"/>
            </w:rPr>
          </w:pPr>
          <w:hyperlink w:anchor="_Toc165029586" w:history="1">
            <w:r w:rsidRPr="001F3079">
              <w:rPr>
                <w:rStyle w:val="Hyperlink"/>
                <w:rFonts w:cstheme="minorHAnsi"/>
                <w:noProof/>
              </w:rPr>
              <w:t>8.</w:t>
            </w:r>
            <w:r>
              <w:rPr>
                <w:rFonts w:eastAsiaTheme="minorEastAsia"/>
                <w:bCs w:val="0"/>
                <w:noProof/>
                <w:kern w:val="2"/>
                <w:sz w:val="22"/>
                <w:szCs w:val="22"/>
                <w:lang w:eastAsia="en-GB"/>
                <w14:ligatures w14:val="standardContextual"/>
              </w:rPr>
              <w:tab/>
            </w:r>
            <w:r w:rsidRPr="001F3079">
              <w:rPr>
                <w:rStyle w:val="Hyperlink"/>
                <w:rFonts w:cstheme="minorHAnsi"/>
                <w:noProof/>
              </w:rPr>
              <w:t>Patient Identification Rates</w:t>
            </w:r>
            <w:r>
              <w:rPr>
                <w:noProof/>
                <w:webHidden/>
              </w:rPr>
              <w:tab/>
            </w:r>
            <w:r>
              <w:rPr>
                <w:noProof/>
                <w:webHidden/>
              </w:rPr>
              <w:fldChar w:fldCharType="begin"/>
            </w:r>
            <w:r>
              <w:rPr>
                <w:noProof/>
                <w:webHidden/>
              </w:rPr>
              <w:instrText xml:space="preserve"> PAGEREF _Toc165029586 \h </w:instrText>
            </w:r>
            <w:r>
              <w:rPr>
                <w:noProof/>
                <w:webHidden/>
              </w:rPr>
            </w:r>
            <w:r>
              <w:rPr>
                <w:noProof/>
                <w:webHidden/>
              </w:rPr>
              <w:fldChar w:fldCharType="separate"/>
            </w:r>
            <w:r>
              <w:rPr>
                <w:noProof/>
                <w:webHidden/>
              </w:rPr>
              <w:t>10</w:t>
            </w:r>
            <w:r>
              <w:rPr>
                <w:noProof/>
                <w:webHidden/>
              </w:rPr>
              <w:fldChar w:fldCharType="end"/>
            </w:r>
          </w:hyperlink>
        </w:p>
        <w:p w14:paraId="3919F943" w14:textId="5A558861" w:rsidR="00403661" w:rsidRDefault="00403661">
          <w:pPr>
            <w:pStyle w:val="TOC1"/>
            <w:rPr>
              <w:rFonts w:eastAsiaTheme="minorEastAsia"/>
              <w:bCs w:val="0"/>
              <w:noProof/>
              <w:kern w:val="2"/>
              <w:sz w:val="22"/>
              <w:szCs w:val="22"/>
              <w:lang w:eastAsia="en-GB"/>
              <w14:ligatures w14:val="standardContextual"/>
            </w:rPr>
          </w:pPr>
          <w:hyperlink w:anchor="_Toc165029587" w:history="1">
            <w:r w:rsidRPr="001F3079">
              <w:rPr>
                <w:rStyle w:val="Hyperlink"/>
                <w:rFonts w:cstheme="minorHAnsi"/>
                <w:noProof/>
              </w:rPr>
              <w:t>9.</w:t>
            </w:r>
            <w:r>
              <w:rPr>
                <w:rFonts w:eastAsiaTheme="minorEastAsia"/>
                <w:bCs w:val="0"/>
                <w:noProof/>
                <w:kern w:val="2"/>
                <w:sz w:val="22"/>
                <w:szCs w:val="22"/>
                <w:lang w:eastAsia="en-GB"/>
                <w14:ligatures w14:val="standardContextual"/>
              </w:rPr>
              <w:tab/>
            </w:r>
            <w:r w:rsidRPr="001F3079">
              <w:rPr>
                <w:rStyle w:val="Hyperlink"/>
                <w:rFonts w:cstheme="minorHAnsi"/>
                <w:noProof/>
              </w:rPr>
              <w:t>Appendix 1: Medicine group details</w:t>
            </w:r>
            <w:r>
              <w:rPr>
                <w:noProof/>
                <w:webHidden/>
              </w:rPr>
              <w:tab/>
            </w:r>
            <w:r>
              <w:rPr>
                <w:noProof/>
                <w:webHidden/>
              </w:rPr>
              <w:fldChar w:fldCharType="begin"/>
            </w:r>
            <w:r>
              <w:rPr>
                <w:noProof/>
                <w:webHidden/>
              </w:rPr>
              <w:instrText xml:space="preserve"> PAGEREF _Toc165029587 \h </w:instrText>
            </w:r>
            <w:r>
              <w:rPr>
                <w:noProof/>
                <w:webHidden/>
              </w:rPr>
            </w:r>
            <w:r>
              <w:rPr>
                <w:noProof/>
                <w:webHidden/>
              </w:rPr>
              <w:fldChar w:fldCharType="separate"/>
            </w:r>
            <w:r>
              <w:rPr>
                <w:noProof/>
                <w:webHidden/>
              </w:rPr>
              <w:t>11</w:t>
            </w:r>
            <w:r>
              <w:rPr>
                <w:noProof/>
                <w:webHidden/>
              </w:rPr>
              <w:fldChar w:fldCharType="end"/>
            </w:r>
          </w:hyperlink>
        </w:p>
        <w:p w14:paraId="347C4792" w14:textId="4628BB62" w:rsidR="00403661" w:rsidRDefault="00403661">
          <w:pPr>
            <w:pStyle w:val="TOC1"/>
            <w:rPr>
              <w:rFonts w:eastAsiaTheme="minorEastAsia"/>
              <w:bCs w:val="0"/>
              <w:noProof/>
              <w:kern w:val="2"/>
              <w:sz w:val="22"/>
              <w:szCs w:val="22"/>
              <w:lang w:eastAsia="en-GB"/>
              <w14:ligatures w14:val="standardContextual"/>
            </w:rPr>
          </w:pPr>
          <w:hyperlink w:anchor="_Toc165029588" w:history="1">
            <w:r w:rsidRPr="001F3079">
              <w:rPr>
                <w:rStyle w:val="Hyperlink"/>
                <w:rFonts w:cstheme="minorHAnsi"/>
                <w:noProof/>
              </w:rPr>
              <w:t>10.</w:t>
            </w:r>
            <w:r>
              <w:rPr>
                <w:rFonts w:eastAsiaTheme="minorEastAsia"/>
                <w:bCs w:val="0"/>
                <w:noProof/>
                <w:kern w:val="2"/>
                <w:sz w:val="22"/>
                <w:szCs w:val="22"/>
                <w:lang w:eastAsia="en-GB"/>
                <w14:ligatures w14:val="standardContextual"/>
              </w:rPr>
              <w:tab/>
            </w:r>
            <w:r w:rsidRPr="001F3079">
              <w:rPr>
                <w:rStyle w:val="Hyperlink"/>
                <w:rFonts w:cstheme="minorHAnsi"/>
                <w:noProof/>
              </w:rPr>
              <w:t>Appendix 2: Working group and other advisors</w:t>
            </w:r>
            <w:r>
              <w:rPr>
                <w:noProof/>
                <w:webHidden/>
              </w:rPr>
              <w:tab/>
            </w:r>
            <w:r>
              <w:rPr>
                <w:noProof/>
                <w:webHidden/>
              </w:rPr>
              <w:fldChar w:fldCharType="begin"/>
            </w:r>
            <w:r>
              <w:rPr>
                <w:noProof/>
                <w:webHidden/>
              </w:rPr>
              <w:instrText xml:space="preserve"> PAGEREF _Toc165029588 \h </w:instrText>
            </w:r>
            <w:r>
              <w:rPr>
                <w:noProof/>
                <w:webHidden/>
              </w:rPr>
            </w:r>
            <w:r>
              <w:rPr>
                <w:noProof/>
                <w:webHidden/>
              </w:rPr>
              <w:fldChar w:fldCharType="separate"/>
            </w:r>
            <w:r>
              <w:rPr>
                <w:noProof/>
                <w:webHidden/>
              </w:rPr>
              <w:t>11</w:t>
            </w:r>
            <w:r>
              <w:rPr>
                <w:noProof/>
                <w:webHidden/>
              </w:rPr>
              <w:fldChar w:fldCharType="end"/>
            </w:r>
          </w:hyperlink>
        </w:p>
        <w:p w14:paraId="2603BE82" w14:textId="1ED289C7" w:rsidR="003629ED" w:rsidRPr="001F3797" w:rsidRDefault="00ED1739">
          <w:pPr>
            <w:rPr>
              <w:rFonts w:cstheme="minorHAnsi"/>
            </w:rPr>
          </w:pPr>
          <w:r>
            <w:rPr>
              <w:rFonts w:cstheme="minorHAnsi"/>
            </w:rPr>
            <w:fldChar w:fldCharType="end"/>
          </w:r>
        </w:p>
      </w:sdtContent>
    </w:sdt>
    <w:p w14:paraId="354D538B" w14:textId="77777777" w:rsidR="00ED1739" w:rsidRDefault="00ED1739">
      <w:pPr>
        <w:rPr>
          <w:rFonts w:eastAsiaTheme="majorEastAsia" w:cstheme="minorHAnsi"/>
          <w:color w:val="0070C0"/>
          <w:sz w:val="24"/>
          <w:szCs w:val="24"/>
        </w:rPr>
      </w:pPr>
      <w:r>
        <w:rPr>
          <w:rFonts w:cstheme="minorHAnsi"/>
        </w:rPr>
        <w:br w:type="page"/>
      </w:r>
    </w:p>
    <w:p w14:paraId="3D3E5CA8" w14:textId="09CDC00C" w:rsidR="0041212E" w:rsidRPr="001F3797" w:rsidRDefault="0041212E" w:rsidP="0016551E">
      <w:pPr>
        <w:pStyle w:val="Heading1"/>
        <w:numPr>
          <w:ilvl w:val="0"/>
          <w:numId w:val="11"/>
        </w:numPr>
        <w:rPr>
          <w:rFonts w:asciiTheme="minorHAnsi" w:hAnsiTheme="minorHAnsi" w:cstheme="minorHAnsi"/>
        </w:rPr>
      </w:pPr>
      <w:bookmarkStart w:id="0" w:name="_Toc165029561"/>
      <w:r w:rsidRPr="001F3797">
        <w:rPr>
          <w:rFonts w:asciiTheme="minorHAnsi" w:hAnsiTheme="minorHAnsi" w:cstheme="minorHAnsi"/>
        </w:rPr>
        <w:lastRenderedPageBreak/>
        <w:t>Background</w:t>
      </w:r>
      <w:bookmarkEnd w:id="0"/>
      <w:r w:rsidRPr="001F3797">
        <w:rPr>
          <w:rFonts w:asciiTheme="minorHAnsi" w:hAnsiTheme="minorHAnsi" w:cstheme="minorHAnsi"/>
        </w:rPr>
        <w:t xml:space="preserve"> </w:t>
      </w:r>
    </w:p>
    <w:p w14:paraId="77E0CC70" w14:textId="77777777" w:rsidR="008F73DE" w:rsidRPr="006B474A" w:rsidRDefault="008F73DE" w:rsidP="008F73DE">
      <w:r w:rsidRPr="006B474A">
        <w:t xml:space="preserve">The comparators have been developed in response to the National Overprescribing Review (NOR) and relate to the quality of the prescribing system in addressing or avoiding overprescribing. </w:t>
      </w:r>
    </w:p>
    <w:p w14:paraId="060FDB3A" w14:textId="77777777" w:rsidR="008F73DE" w:rsidRPr="006B474A" w:rsidRDefault="008F73DE" w:rsidP="008F73DE">
      <w:r w:rsidRPr="006B474A">
        <w:t>Specifically, the comparators relate to the aspect of the prescribing process that manages repeat prescriptions as the total quantity over time of individual prescription products dispensed to patients will be the sum of multiple prescriptions for those products. Repeat prescriptions make up around three-quarters of all prescription items</w:t>
      </w:r>
      <w:r>
        <w:t>.</w:t>
      </w:r>
    </w:p>
    <w:p w14:paraId="295A0156" w14:textId="77777777" w:rsidR="008F73DE" w:rsidRPr="006B474A" w:rsidRDefault="008F73DE" w:rsidP="008F73DE">
      <w:r w:rsidRPr="006B474A">
        <w:t xml:space="preserve">In the context of overprescribing, the repeats process plays an important role in checking the appropriateness of the prescribed product for the patient as well as the appropriateness of total amount prescribed and dispensed (supply) to the patient over time. </w:t>
      </w:r>
    </w:p>
    <w:p w14:paraId="7CF1FBBB" w14:textId="77777777" w:rsidR="008F73DE" w:rsidRPr="006B474A" w:rsidRDefault="008F73DE" w:rsidP="008F73DE">
      <w:r w:rsidRPr="006B474A">
        <w:t xml:space="preserve">It is desirable that the total amount dispensed to patients over time balances wasted quantities of the product with the administrative burden for prescribers and staff, and for patients, the convenience of access to and safe supply of prescribed products. </w:t>
      </w:r>
    </w:p>
    <w:p w14:paraId="6A533DAD" w14:textId="77777777" w:rsidR="008F73DE" w:rsidRPr="006B474A" w:rsidRDefault="008F73DE" w:rsidP="008F73DE">
      <w:r w:rsidRPr="006B474A">
        <w:t xml:space="preserve">With the right level of management of the process and patient involvement, wasted quantities could be minimised and risky levels of certain products avoided. </w:t>
      </w:r>
    </w:p>
    <w:p w14:paraId="35CEA579" w14:textId="5894B4BA" w:rsidR="004C3E9E" w:rsidRDefault="008F73DE" w:rsidP="0035674C">
      <w:pPr>
        <w:rPr>
          <w:rFonts w:cstheme="minorHAnsi"/>
          <w:b/>
          <w:bCs w:val="0"/>
        </w:rPr>
      </w:pPr>
      <w:r>
        <w:rPr>
          <w:rFonts w:cstheme="minorHAnsi"/>
          <w:b/>
          <w:bCs w:val="0"/>
        </w:rPr>
        <w:t xml:space="preserve">These metrics are not a clinical </w:t>
      </w:r>
      <w:r w:rsidR="000F43AA">
        <w:rPr>
          <w:rFonts w:cstheme="minorHAnsi"/>
          <w:b/>
          <w:bCs w:val="0"/>
        </w:rPr>
        <w:t>directive;</w:t>
      </w:r>
      <w:r>
        <w:rPr>
          <w:rFonts w:cstheme="minorHAnsi"/>
          <w:b/>
          <w:bCs w:val="0"/>
        </w:rPr>
        <w:t xml:space="preserve"> they have been developed alongside a short life working group of clinicians giving guidance for expected best practice for typical use cases.</w:t>
      </w:r>
    </w:p>
    <w:p w14:paraId="1B411EF2" w14:textId="77777777" w:rsidR="00756DCA" w:rsidRPr="00845B0A" w:rsidRDefault="00756DCA" w:rsidP="0035674C">
      <w:pPr>
        <w:rPr>
          <w:rFonts w:cstheme="minorHAnsi"/>
          <w:b/>
          <w:bCs w:val="0"/>
        </w:rPr>
      </w:pPr>
    </w:p>
    <w:p w14:paraId="6FA3F5BD" w14:textId="40DEE3F6" w:rsidR="004C3E9E" w:rsidRDefault="004C3E9E" w:rsidP="0016551E">
      <w:pPr>
        <w:pStyle w:val="Heading1"/>
        <w:numPr>
          <w:ilvl w:val="0"/>
          <w:numId w:val="11"/>
        </w:numPr>
        <w:rPr>
          <w:rFonts w:asciiTheme="minorHAnsi" w:hAnsiTheme="minorHAnsi" w:cstheme="minorHAnsi"/>
        </w:rPr>
      </w:pPr>
      <w:bookmarkStart w:id="1" w:name="_Toc165029562"/>
      <w:r>
        <w:rPr>
          <w:rFonts w:asciiTheme="minorHAnsi" w:hAnsiTheme="minorHAnsi" w:cstheme="minorHAnsi"/>
        </w:rPr>
        <w:t>Approach to metric selection</w:t>
      </w:r>
      <w:bookmarkEnd w:id="1"/>
    </w:p>
    <w:p w14:paraId="7EFDD380" w14:textId="77777777" w:rsidR="004C3E9E" w:rsidRPr="006B474A" w:rsidRDefault="004C3E9E" w:rsidP="004C3E9E">
      <w:r w:rsidRPr="006B474A">
        <w:t xml:space="preserve">The comparators show quantity dispensed per patient above a threshold quantity. The default threshold is chosen to be what would be clinically appropriate for </w:t>
      </w:r>
      <w:r>
        <w:t>most</w:t>
      </w:r>
      <w:r w:rsidRPr="006B474A">
        <w:t xml:space="preserve"> patients, accepting that</w:t>
      </w:r>
      <w:r>
        <w:t>,</w:t>
      </w:r>
      <w:r w:rsidRPr="006B474A">
        <w:t xml:space="preserve"> for some patients</w:t>
      </w:r>
      <w:r>
        <w:t>,</w:t>
      </w:r>
      <w:r w:rsidRPr="006B474A">
        <w:t xml:space="preserve"> larger quantities may be appropriate. </w:t>
      </w:r>
    </w:p>
    <w:p w14:paraId="6AA7DDF1" w14:textId="77777777" w:rsidR="004C3E9E" w:rsidRPr="006B474A" w:rsidRDefault="004C3E9E" w:rsidP="004C3E9E">
      <w:r w:rsidRPr="006B474A">
        <w:t>Prescribers typically do not see the amount that has been dispensed over a given period as they typically authorise prescriptions on a prescription-by-prescription basis. The comparators contribute two pieces of information to prescribers:</w:t>
      </w:r>
    </w:p>
    <w:p w14:paraId="44FA5DE9" w14:textId="77777777" w:rsidR="004C3E9E" w:rsidRPr="006B474A" w:rsidRDefault="004C3E9E" w:rsidP="004C3E9E">
      <w:pPr>
        <w:pStyle w:val="ListParagraph"/>
        <w:numPr>
          <w:ilvl w:val="0"/>
          <w:numId w:val="44"/>
        </w:numPr>
        <w:spacing w:after="200" w:line="276" w:lineRule="auto"/>
        <w:jc w:val="both"/>
      </w:pPr>
      <w:r w:rsidRPr="006B474A">
        <w:t>what has been dispensed to the patient not just what has been prescribed; and</w:t>
      </w:r>
    </w:p>
    <w:p w14:paraId="53F19B0B" w14:textId="77777777" w:rsidR="004C3E9E" w:rsidRDefault="004C3E9E" w:rsidP="004C3E9E">
      <w:pPr>
        <w:pStyle w:val="ListParagraph"/>
        <w:numPr>
          <w:ilvl w:val="0"/>
          <w:numId w:val="44"/>
        </w:numPr>
        <w:spacing w:after="200" w:line="276" w:lineRule="auto"/>
        <w:jc w:val="both"/>
      </w:pPr>
      <w:r w:rsidRPr="006B474A">
        <w:t xml:space="preserve">the cumulative quantity dispensed over a </w:t>
      </w:r>
      <w:r>
        <w:t>12-month rolling period.</w:t>
      </w:r>
    </w:p>
    <w:p w14:paraId="76D5E84F" w14:textId="77777777" w:rsidR="004C3E9E" w:rsidRDefault="004C3E9E" w:rsidP="004C3E9E">
      <w:r>
        <w:t>Medicine categories were selected where the medicines included followed a regular dosing schedule with limited variance across all clinical indications. Medicine groups were also influenced by patient safety risks or known areas of oversupply.</w:t>
      </w:r>
    </w:p>
    <w:p w14:paraId="4A60CF4F" w14:textId="77777777" w:rsidR="004C3E9E" w:rsidRPr="004C3E9E" w:rsidRDefault="004C3E9E" w:rsidP="004C3E9E"/>
    <w:p w14:paraId="0628DD83" w14:textId="102743C1" w:rsidR="0003524A" w:rsidRPr="0003524A" w:rsidRDefault="00854E32" w:rsidP="003E3C45">
      <w:pPr>
        <w:pStyle w:val="Heading1"/>
        <w:numPr>
          <w:ilvl w:val="0"/>
          <w:numId w:val="11"/>
        </w:numPr>
        <w:rPr>
          <w:rFonts w:asciiTheme="minorHAnsi" w:hAnsiTheme="minorHAnsi" w:cstheme="minorHAnsi"/>
        </w:rPr>
      </w:pPr>
      <w:bookmarkStart w:id="2" w:name="_Toc165029563"/>
      <w:r w:rsidRPr="00431E28">
        <w:rPr>
          <w:rFonts w:asciiTheme="minorHAnsi" w:hAnsiTheme="minorHAnsi" w:cstheme="minorHAnsi"/>
        </w:rPr>
        <w:t>Advic</w:t>
      </w:r>
      <w:r w:rsidRPr="004C3E9E">
        <w:rPr>
          <w:rFonts w:asciiTheme="minorHAnsi" w:hAnsiTheme="minorHAnsi" w:cstheme="minorHAnsi"/>
        </w:rPr>
        <w:t>e for healthcare professionals:</w:t>
      </w:r>
      <w:bookmarkEnd w:id="2"/>
      <w:r w:rsidRPr="004C3E9E">
        <w:rPr>
          <w:rFonts w:asciiTheme="minorHAnsi" w:hAnsiTheme="minorHAnsi" w:cstheme="minorHAnsi"/>
        </w:rPr>
        <w:t xml:space="preserve"> </w:t>
      </w:r>
    </w:p>
    <w:p w14:paraId="010FC7DA" w14:textId="77777777" w:rsidR="0003524A" w:rsidRDefault="0003524A" w:rsidP="003E3C45">
      <w:pPr>
        <w:rPr>
          <w:rFonts w:cstheme="minorHAnsi"/>
        </w:rPr>
      </w:pPr>
    </w:p>
    <w:p w14:paraId="523A6D17" w14:textId="47B90B19" w:rsidR="0003524A" w:rsidRDefault="00756DCA" w:rsidP="003E3C45">
      <w:pPr>
        <w:rPr>
          <w:rFonts w:cstheme="minorHAnsi"/>
        </w:rPr>
      </w:pPr>
      <w:r>
        <w:rPr>
          <w:rFonts w:cstheme="minorHAnsi"/>
        </w:rPr>
        <w:t>The drug groups have been identified for several reasons such as a suspected scale of oversupply or where prescribing across clinical indications are all broadly the same (</w:t>
      </w:r>
      <w:proofErr w:type="spellStart"/>
      <w:r>
        <w:rPr>
          <w:rFonts w:cstheme="minorHAnsi"/>
        </w:rPr>
        <w:t>ie</w:t>
      </w:r>
      <w:proofErr w:type="spellEnd"/>
      <w:r>
        <w:rPr>
          <w:rFonts w:cstheme="minorHAnsi"/>
        </w:rPr>
        <w:t xml:space="preserve"> to treat issue X and issue Y a patient should only receive 1 per day, rather than 1 per day for X and 5 per day for Y). The drug list within the categories </w:t>
      </w:r>
      <w:proofErr w:type="gramStart"/>
      <w:r>
        <w:rPr>
          <w:rFonts w:cstheme="minorHAnsi"/>
        </w:rPr>
        <w:t>are</w:t>
      </w:r>
      <w:proofErr w:type="gramEnd"/>
      <w:r>
        <w:rPr>
          <w:rFonts w:cstheme="minorHAnsi"/>
        </w:rPr>
        <w:t xml:space="preserve"> not exhaustive, for example around 15% of prescribing of laxatives could not be given a defined maximum daily dose and is therefore excluded from the metrics. Likewise, the categories themselves are not exhaustive, and patients may be receiving excessive supply in other areas of the BNF that are not included in this dashboard.</w:t>
      </w:r>
    </w:p>
    <w:p w14:paraId="07D15A30" w14:textId="0A8657AF" w:rsidR="00756DCA" w:rsidRDefault="00756DCA" w:rsidP="003E3C45">
      <w:pPr>
        <w:rPr>
          <w:rFonts w:cstheme="minorHAnsi"/>
        </w:rPr>
      </w:pPr>
      <w:r>
        <w:rPr>
          <w:rFonts w:cstheme="minorHAnsi"/>
        </w:rPr>
        <w:t>When requesting patient details, you will be provided with all the oversupply a patient has received within the scope of the dashboard to assist with the patient’s medication review. If you discover an issue such as a monthly prescription set to weekly, please be mindful this may impact on other medicines the patient receives that are not included in the dashboard.</w:t>
      </w:r>
    </w:p>
    <w:p w14:paraId="4ABC91BD" w14:textId="3D4E5496" w:rsidR="0003524A" w:rsidRDefault="0003524A" w:rsidP="003E3C45">
      <w:pPr>
        <w:rPr>
          <w:rFonts w:cstheme="minorHAnsi"/>
        </w:rPr>
      </w:pPr>
      <w:r>
        <w:rPr>
          <w:rFonts w:cstheme="minorHAnsi"/>
        </w:rPr>
        <w:lastRenderedPageBreak/>
        <w:t>The quantities stated are the quantities claimed for reimbursement by the dispensing pharmacy/</w:t>
      </w:r>
      <w:proofErr w:type="spellStart"/>
      <w:r>
        <w:rPr>
          <w:rFonts w:cstheme="minorHAnsi"/>
        </w:rPr>
        <w:t>ies</w:t>
      </w:r>
      <w:proofErr w:type="spellEnd"/>
      <w:r>
        <w:rPr>
          <w:rFonts w:cstheme="minorHAnsi"/>
        </w:rPr>
        <w:t xml:space="preserve">. When reviewing patients, remain mindful that the data may highlight concerning dispensing activity. Concerns that there has been fraudulent activity can be reported to the </w:t>
      </w:r>
      <w:hyperlink r:id="rId11" w:history="1">
        <w:r w:rsidRPr="0003524A">
          <w:rPr>
            <w:rStyle w:val="Hyperlink"/>
            <w:rFonts w:cstheme="minorHAnsi"/>
          </w:rPr>
          <w:t>NHS Fraud and Corruption reporting line</w:t>
        </w:r>
      </w:hyperlink>
      <w:r>
        <w:rPr>
          <w:rFonts w:cstheme="minorHAnsi"/>
        </w:rPr>
        <w:t xml:space="preserve"> or your usual escalation point.  </w:t>
      </w:r>
    </w:p>
    <w:p w14:paraId="60139C28" w14:textId="77777777" w:rsidR="0003524A" w:rsidRDefault="0003524A" w:rsidP="003E3C45">
      <w:pPr>
        <w:rPr>
          <w:rFonts w:cstheme="minorHAnsi"/>
        </w:rPr>
      </w:pPr>
    </w:p>
    <w:p w14:paraId="546C92A3" w14:textId="079462CA" w:rsidR="00756DCA" w:rsidRPr="00756DCA" w:rsidRDefault="0077290A" w:rsidP="00F3180F">
      <w:pPr>
        <w:pStyle w:val="Heading1"/>
        <w:numPr>
          <w:ilvl w:val="0"/>
          <w:numId w:val="11"/>
        </w:numPr>
        <w:rPr>
          <w:rFonts w:cstheme="minorHAnsi"/>
        </w:rPr>
      </w:pPr>
      <w:bookmarkStart w:id="3" w:name="_Toc165029564"/>
      <w:r w:rsidRPr="00756DCA">
        <w:rPr>
          <w:rFonts w:asciiTheme="minorHAnsi" w:hAnsiTheme="minorHAnsi" w:cstheme="minorHAnsi"/>
        </w:rPr>
        <w:t>Drug grouping</w:t>
      </w:r>
      <w:bookmarkEnd w:id="3"/>
    </w:p>
    <w:p w14:paraId="64425F5D" w14:textId="2AD2A8DF" w:rsidR="00756DCA" w:rsidRPr="001F3797" w:rsidRDefault="00756DCA" w:rsidP="00756DCA">
      <w:pPr>
        <w:pStyle w:val="Heading1"/>
        <w:numPr>
          <w:ilvl w:val="1"/>
          <w:numId w:val="11"/>
        </w:numPr>
      </w:pPr>
      <w:bookmarkStart w:id="4" w:name="_Toc165029565"/>
      <w:r>
        <w:t>Drug group descriptions and coverage</w:t>
      </w:r>
      <w:bookmarkEnd w:id="4"/>
    </w:p>
    <w:p w14:paraId="60DF30E6" w14:textId="56655620" w:rsidR="00F725D6" w:rsidRDefault="00FA2DCE" w:rsidP="00DF5DEA">
      <w:pPr>
        <w:rPr>
          <w:rFonts w:cstheme="minorHAnsi"/>
        </w:rPr>
      </w:pPr>
      <w:r>
        <w:rPr>
          <w:rFonts w:cstheme="minorHAnsi"/>
        </w:rPr>
        <w:t xml:space="preserve">All prescribing of included products in the rolling 12-month period are included in the patient’s total quantity irrespective of changes of brand, </w:t>
      </w:r>
      <w:r w:rsidR="00937C82">
        <w:rPr>
          <w:rFonts w:cstheme="minorHAnsi"/>
        </w:rPr>
        <w:t>strength,</w:t>
      </w:r>
      <w:r>
        <w:rPr>
          <w:rFonts w:cstheme="minorHAnsi"/>
        </w:rPr>
        <w:t xml:space="preserve"> or chemical substance. </w:t>
      </w:r>
    </w:p>
    <w:p w14:paraId="5496668D" w14:textId="6BCB34B9" w:rsidR="00937C82" w:rsidRDefault="00937C82" w:rsidP="00DF5DEA">
      <w:pPr>
        <w:rPr>
          <w:rFonts w:cstheme="minorHAnsi"/>
        </w:rPr>
      </w:pPr>
      <w:r>
        <w:rPr>
          <w:rFonts w:cstheme="minorHAnsi"/>
        </w:rPr>
        <w:t xml:space="preserve">The table below explains in detail the strengths and substances included in each drug group. The table also includes the proportion of items in the rolling 12-month period to </w:t>
      </w:r>
      <w:r w:rsidR="001774C2">
        <w:rPr>
          <w:rFonts w:cstheme="minorHAnsi"/>
        </w:rPr>
        <w:t>July</w:t>
      </w:r>
      <w:r>
        <w:rPr>
          <w:rFonts w:cstheme="minorHAnsi"/>
        </w:rPr>
        <w:t xml:space="preserve"> 2024 included in the dashboard out of all items prescribed in that BNF paragraph in the same period.</w:t>
      </w:r>
    </w:p>
    <w:p w14:paraId="4C240F5B" w14:textId="456E7DB4" w:rsidR="00756DCA" w:rsidRPr="00756DCA" w:rsidRDefault="00756DCA" w:rsidP="00DF5DEA">
      <w:pPr>
        <w:rPr>
          <w:rFonts w:cstheme="minorHAnsi"/>
          <w:i/>
          <w:iCs/>
        </w:rPr>
      </w:pPr>
      <w:r>
        <w:rPr>
          <w:rFonts w:cstheme="minorHAnsi"/>
          <w:i/>
          <w:iCs/>
        </w:rPr>
        <w:t>Table 4.1</w:t>
      </w:r>
      <w:r w:rsidR="001115F2">
        <w:rPr>
          <w:rFonts w:cstheme="minorHAnsi"/>
          <w:i/>
          <w:iCs/>
        </w:rPr>
        <w:t>.1</w:t>
      </w:r>
      <w:r>
        <w:rPr>
          <w:rFonts w:cstheme="minorHAnsi"/>
          <w:i/>
          <w:iCs/>
        </w:rPr>
        <w:t>: Drug groupings and the proportion of prescribing included for analysis</w:t>
      </w:r>
    </w:p>
    <w:tbl>
      <w:tblPr>
        <w:tblStyle w:val="ListTable4-Accent1"/>
        <w:tblW w:w="0" w:type="auto"/>
        <w:tblLook w:val="04A0" w:firstRow="1" w:lastRow="0" w:firstColumn="1" w:lastColumn="0" w:noHBand="0" w:noVBand="1"/>
      </w:tblPr>
      <w:tblGrid>
        <w:gridCol w:w="2263"/>
        <w:gridCol w:w="4253"/>
        <w:gridCol w:w="2500"/>
      </w:tblGrid>
      <w:tr w:rsidR="00937C82" w:rsidRPr="001F3797" w14:paraId="0D24B7B9" w14:textId="1FF28169" w:rsidTr="00603D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D474A01" w14:textId="2DD40480" w:rsidR="00937C82" w:rsidRPr="001F3797" w:rsidRDefault="00937C82" w:rsidP="0077290A">
            <w:pPr>
              <w:rPr>
                <w:rFonts w:cstheme="minorHAnsi"/>
              </w:rPr>
            </w:pPr>
            <w:r>
              <w:rPr>
                <w:rFonts w:cstheme="minorHAnsi"/>
              </w:rPr>
              <w:t>Drug Group</w:t>
            </w:r>
          </w:p>
        </w:tc>
        <w:tc>
          <w:tcPr>
            <w:tcW w:w="4253" w:type="dxa"/>
          </w:tcPr>
          <w:p w14:paraId="534EB28D" w14:textId="4E75D36F" w:rsidR="00937C82" w:rsidRPr="001F3797" w:rsidRDefault="00937C82" w:rsidP="0077290A">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Category description</w:t>
            </w:r>
          </w:p>
        </w:tc>
        <w:tc>
          <w:tcPr>
            <w:tcW w:w="2500" w:type="dxa"/>
          </w:tcPr>
          <w:p w14:paraId="355B5371" w14:textId="0F0C1747" w:rsidR="00937C82" w:rsidRDefault="00937C82" w:rsidP="0077290A">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Percentage of BNF paragraph included</w:t>
            </w:r>
            <w:r w:rsidR="00603DCB">
              <w:rPr>
                <w:rFonts w:cstheme="minorHAnsi"/>
              </w:rPr>
              <w:t xml:space="preserve"> in metrics</w:t>
            </w:r>
          </w:p>
        </w:tc>
      </w:tr>
      <w:tr w:rsidR="00937C82" w:rsidRPr="001F3797" w14:paraId="5A6D29C6" w14:textId="0B9CD5AB" w:rsidTr="00603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4A8E848" w14:textId="3C927C75" w:rsidR="00937C82" w:rsidRPr="001F3797" w:rsidRDefault="00937C82" w:rsidP="00DF5DEA">
            <w:pPr>
              <w:rPr>
                <w:rFonts w:cstheme="minorHAnsi"/>
              </w:rPr>
            </w:pPr>
            <w:r>
              <w:rPr>
                <w:rFonts w:cstheme="minorHAnsi"/>
              </w:rPr>
              <w:t>Antiplatelets excluding aspirin</w:t>
            </w:r>
          </w:p>
        </w:tc>
        <w:tc>
          <w:tcPr>
            <w:tcW w:w="4253" w:type="dxa"/>
          </w:tcPr>
          <w:p w14:paraId="61497728" w14:textId="3D9995C0" w:rsidR="00937C82" w:rsidRPr="001F3797" w:rsidRDefault="00937C82" w:rsidP="00EA32D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Solid oral presentations containing clopidogrel (75mg), dipyridamole (200mg), ticagrelor (60mg, 90mg) or prasugrel (5mg, 10mg)</w:t>
            </w:r>
          </w:p>
        </w:tc>
        <w:tc>
          <w:tcPr>
            <w:tcW w:w="2500" w:type="dxa"/>
          </w:tcPr>
          <w:p w14:paraId="7B8B2222" w14:textId="75E44BB9" w:rsidR="00937C82" w:rsidRDefault="00603DCB" w:rsidP="00EA32D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r w:rsidR="00F047CC">
              <w:rPr>
                <w:rFonts w:cstheme="minorHAnsi"/>
              </w:rPr>
              <w:t>8</w:t>
            </w:r>
            <w:r>
              <w:rPr>
                <w:rFonts w:cstheme="minorHAnsi"/>
              </w:rPr>
              <w:t>%</w:t>
            </w:r>
          </w:p>
          <w:p w14:paraId="1ABDBCC4" w14:textId="2F745D0C" w:rsidR="00603DCB" w:rsidRDefault="00603DCB" w:rsidP="00EA32D8">
            <w:pPr>
              <w:cnfStyle w:val="000000100000" w:firstRow="0" w:lastRow="0" w:firstColumn="0" w:lastColumn="0" w:oddVBand="0" w:evenVBand="0" w:oddHBand="1" w:evenHBand="0" w:firstRowFirstColumn="0" w:firstRowLastColumn="0" w:lastRowFirstColumn="0" w:lastRowLastColumn="0"/>
              <w:rPr>
                <w:rFonts w:cstheme="minorHAnsi"/>
              </w:rPr>
            </w:pPr>
          </w:p>
        </w:tc>
      </w:tr>
      <w:tr w:rsidR="00937C82" w:rsidRPr="001F3797" w14:paraId="02F85D6A" w14:textId="7BFF7527" w:rsidTr="00603DCB">
        <w:tc>
          <w:tcPr>
            <w:cnfStyle w:val="001000000000" w:firstRow="0" w:lastRow="0" w:firstColumn="1" w:lastColumn="0" w:oddVBand="0" w:evenVBand="0" w:oddHBand="0" w:evenHBand="0" w:firstRowFirstColumn="0" w:firstRowLastColumn="0" w:lastRowFirstColumn="0" w:lastRowLastColumn="0"/>
            <w:tcW w:w="2263" w:type="dxa"/>
          </w:tcPr>
          <w:p w14:paraId="28E86E84" w14:textId="4E0F5977" w:rsidR="00937C82" w:rsidRPr="001F3797" w:rsidRDefault="00937C82" w:rsidP="00DF5DEA">
            <w:pPr>
              <w:rPr>
                <w:rFonts w:cstheme="minorHAnsi"/>
              </w:rPr>
            </w:pPr>
            <w:r>
              <w:rPr>
                <w:rFonts w:cstheme="minorHAnsi"/>
              </w:rPr>
              <w:t>Aspirin</w:t>
            </w:r>
          </w:p>
        </w:tc>
        <w:tc>
          <w:tcPr>
            <w:tcW w:w="4253" w:type="dxa"/>
          </w:tcPr>
          <w:p w14:paraId="1414F499" w14:textId="3E1ACA80" w:rsidR="00937C82" w:rsidRPr="001F3797" w:rsidRDefault="00937C82" w:rsidP="00EA32D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Solid oral presentations containing 75mg aspirin</w:t>
            </w:r>
          </w:p>
        </w:tc>
        <w:tc>
          <w:tcPr>
            <w:tcW w:w="2500" w:type="dxa"/>
          </w:tcPr>
          <w:p w14:paraId="08854D9A" w14:textId="488324AB" w:rsidR="00937C82" w:rsidRDefault="00603DCB" w:rsidP="00EA32D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w:t>
            </w:r>
            <w:r w:rsidR="004D262D">
              <w:rPr>
                <w:rFonts w:cstheme="minorHAnsi"/>
              </w:rPr>
              <w:t>2</w:t>
            </w:r>
            <w:r>
              <w:rPr>
                <w:rFonts w:cstheme="minorHAnsi"/>
              </w:rPr>
              <w:t>%</w:t>
            </w:r>
          </w:p>
          <w:p w14:paraId="123E6417" w14:textId="155D1827" w:rsidR="00603DCB" w:rsidRDefault="00603DCB" w:rsidP="00EA32D8">
            <w:pPr>
              <w:cnfStyle w:val="000000000000" w:firstRow="0" w:lastRow="0" w:firstColumn="0" w:lastColumn="0" w:oddVBand="0" w:evenVBand="0" w:oddHBand="0" w:evenHBand="0" w:firstRowFirstColumn="0" w:firstRowLastColumn="0" w:lastRowFirstColumn="0" w:lastRowLastColumn="0"/>
              <w:rPr>
                <w:rFonts w:cstheme="minorHAnsi"/>
              </w:rPr>
            </w:pPr>
          </w:p>
        </w:tc>
      </w:tr>
      <w:tr w:rsidR="00937C82" w:rsidRPr="001F3797" w14:paraId="5ECBEA07" w14:textId="7E9270D6" w:rsidTr="00603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FA29549" w14:textId="0602DE2F" w:rsidR="00937C82" w:rsidRPr="001F3797" w:rsidRDefault="00937C82" w:rsidP="00DF5DEA">
            <w:pPr>
              <w:rPr>
                <w:rFonts w:cstheme="minorHAnsi"/>
              </w:rPr>
            </w:pPr>
            <w:r>
              <w:rPr>
                <w:rFonts w:cstheme="minorHAnsi"/>
              </w:rPr>
              <w:t>Blood Glucose Testing Strips</w:t>
            </w:r>
          </w:p>
        </w:tc>
        <w:tc>
          <w:tcPr>
            <w:tcW w:w="4253" w:type="dxa"/>
          </w:tcPr>
          <w:p w14:paraId="6640CB80" w14:textId="33BB4461" w:rsidR="00937C82" w:rsidRPr="001F3797" w:rsidRDefault="00937C82" w:rsidP="00EA32D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Blood glucose test strips</w:t>
            </w:r>
          </w:p>
        </w:tc>
        <w:tc>
          <w:tcPr>
            <w:tcW w:w="2500" w:type="dxa"/>
          </w:tcPr>
          <w:p w14:paraId="52FFC192" w14:textId="69960875" w:rsidR="00937C82" w:rsidRDefault="00027A82" w:rsidP="00EA32D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100</w:t>
            </w:r>
            <w:r w:rsidR="00937C82">
              <w:rPr>
                <w:rFonts w:cstheme="minorHAnsi"/>
              </w:rPr>
              <w:t>%</w:t>
            </w:r>
          </w:p>
        </w:tc>
      </w:tr>
      <w:tr w:rsidR="00937C82" w:rsidRPr="001F3797" w14:paraId="0FDB4DAD" w14:textId="38B1D362" w:rsidTr="00603DCB">
        <w:tc>
          <w:tcPr>
            <w:cnfStyle w:val="001000000000" w:firstRow="0" w:lastRow="0" w:firstColumn="1" w:lastColumn="0" w:oddVBand="0" w:evenVBand="0" w:oddHBand="0" w:evenHBand="0" w:firstRowFirstColumn="0" w:firstRowLastColumn="0" w:lastRowFirstColumn="0" w:lastRowLastColumn="0"/>
            <w:tcW w:w="2263" w:type="dxa"/>
          </w:tcPr>
          <w:p w14:paraId="0D245818" w14:textId="3FBCDE31" w:rsidR="00937C82" w:rsidRPr="001F3797" w:rsidRDefault="00937C82" w:rsidP="0012049A">
            <w:pPr>
              <w:rPr>
                <w:rFonts w:cstheme="minorHAnsi"/>
              </w:rPr>
            </w:pPr>
            <w:r>
              <w:rPr>
                <w:rFonts w:cstheme="minorHAnsi"/>
              </w:rPr>
              <w:t>Blood Glucose Sensors</w:t>
            </w:r>
          </w:p>
        </w:tc>
        <w:tc>
          <w:tcPr>
            <w:tcW w:w="4253" w:type="dxa"/>
          </w:tcPr>
          <w:p w14:paraId="3F112593" w14:textId="11321C27" w:rsidR="00937C82" w:rsidRPr="001F3797" w:rsidRDefault="00937C82" w:rsidP="00EA32D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Blood glucose continuous monitoring sensors</w:t>
            </w:r>
          </w:p>
        </w:tc>
        <w:tc>
          <w:tcPr>
            <w:tcW w:w="2500" w:type="dxa"/>
          </w:tcPr>
          <w:p w14:paraId="19072C2C" w14:textId="79D8A24B" w:rsidR="00937C82" w:rsidRDefault="00937C82" w:rsidP="00EA32D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100%</w:t>
            </w:r>
          </w:p>
        </w:tc>
      </w:tr>
      <w:tr w:rsidR="00820BC1" w:rsidRPr="001F3797" w14:paraId="34108DA5" w14:textId="77777777" w:rsidTr="00603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5DCACB4" w14:textId="20AA42A9" w:rsidR="00820BC1" w:rsidRDefault="00820BC1" w:rsidP="0012049A">
            <w:pPr>
              <w:rPr>
                <w:rFonts w:cstheme="minorHAnsi"/>
              </w:rPr>
            </w:pPr>
            <w:r>
              <w:rPr>
                <w:rFonts w:cstheme="minorHAnsi"/>
              </w:rPr>
              <w:t>Oral Anticoagulants</w:t>
            </w:r>
          </w:p>
        </w:tc>
        <w:tc>
          <w:tcPr>
            <w:tcW w:w="4253" w:type="dxa"/>
          </w:tcPr>
          <w:p w14:paraId="0DDA621D" w14:textId="2D475F37" w:rsidR="00820BC1" w:rsidRDefault="001774C2" w:rsidP="00EA32D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Delayed oral anticoagulants excluding warfarin</w:t>
            </w:r>
          </w:p>
        </w:tc>
        <w:tc>
          <w:tcPr>
            <w:tcW w:w="2500" w:type="dxa"/>
          </w:tcPr>
          <w:p w14:paraId="5DEAFFA8" w14:textId="77777777" w:rsidR="00820BC1" w:rsidRDefault="002F3E72" w:rsidP="00EA32D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84%</w:t>
            </w:r>
          </w:p>
          <w:p w14:paraId="0DF2BB85" w14:textId="13BC255B" w:rsidR="002F3E72" w:rsidRDefault="002F3E72" w:rsidP="00EA32D8">
            <w:pPr>
              <w:cnfStyle w:val="000000100000" w:firstRow="0" w:lastRow="0" w:firstColumn="0" w:lastColumn="0" w:oddVBand="0" w:evenVBand="0" w:oddHBand="1" w:evenHBand="0" w:firstRowFirstColumn="0" w:firstRowLastColumn="0" w:lastRowFirstColumn="0" w:lastRowLastColumn="0"/>
              <w:rPr>
                <w:rFonts w:cstheme="minorHAnsi"/>
              </w:rPr>
            </w:pPr>
          </w:p>
        </w:tc>
      </w:tr>
      <w:tr w:rsidR="00937C82" w:rsidRPr="001F3797" w14:paraId="34652523" w14:textId="43365818" w:rsidTr="00603DCB">
        <w:tc>
          <w:tcPr>
            <w:cnfStyle w:val="001000000000" w:firstRow="0" w:lastRow="0" w:firstColumn="1" w:lastColumn="0" w:oddVBand="0" w:evenVBand="0" w:oddHBand="0" w:evenHBand="0" w:firstRowFirstColumn="0" w:firstRowLastColumn="0" w:lastRowFirstColumn="0" w:lastRowLastColumn="0"/>
            <w:tcW w:w="2263" w:type="dxa"/>
          </w:tcPr>
          <w:p w14:paraId="6B3F8E15" w14:textId="0902B8FA" w:rsidR="00937C82" w:rsidRPr="001F3797" w:rsidRDefault="00937C82" w:rsidP="0012049A">
            <w:pPr>
              <w:rPr>
                <w:rFonts w:cstheme="minorHAnsi"/>
              </w:rPr>
            </w:pPr>
            <w:r>
              <w:rPr>
                <w:rFonts w:cstheme="minorHAnsi"/>
              </w:rPr>
              <w:t>Oral Nutritional Supplements</w:t>
            </w:r>
          </w:p>
        </w:tc>
        <w:tc>
          <w:tcPr>
            <w:tcW w:w="4253" w:type="dxa"/>
          </w:tcPr>
          <w:p w14:paraId="3B7C8E20" w14:textId="6612EDC3" w:rsidR="00937C82" w:rsidRPr="001F3797" w:rsidRDefault="00937C82" w:rsidP="00EA32D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ONS 125ml, 200ml, 220ml and 250ml drinks excluding tube feeding products</w:t>
            </w:r>
          </w:p>
        </w:tc>
        <w:tc>
          <w:tcPr>
            <w:tcW w:w="2500" w:type="dxa"/>
          </w:tcPr>
          <w:p w14:paraId="16DE6ED5" w14:textId="79E3A41C" w:rsidR="00937C82" w:rsidRDefault="00937C82" w:rsidP="00EA32D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76%</w:t>
            </w:r>
          </w:p>
        </w:tc>
      </w:tr>
      <w:tr w:rsidR="00937C82" w:rsidRPr="001F3797" w14:paraId="6829DFBA" w14:textId="6E4E9A3F" w:rsidTr="00603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22C332B" w14:textId="60818EF4" w:rsidR="00937C82" w:rsidRPr="001F3797" w:rsidRDefault="00937C82" w:rsidP="0012049A">
            <w:pPr>
              <w:rPr>
                <w:rFonts w:cstheme="minorHAnsi"/>
              </w:rPr>
            </w:pPr>
            <w:r>
              <w:rPr>
                <w:rFonts w:cstheme="minorHAnsi"/>
              </w:rPr>
              <w:t>Paediatric Oral Nutritional Supplements</w:t>
            </w:r>
          </w:p>
        </w:tc>
        <w:tc>
          <w:tcPr>
            <w:tcW w:w="4253" w:type="dxa"/>
          </w:tcPr>
          <w:p w14:paraId="21A23DCF" w14:textId="461C0FD1" w:rsidR="00937C82" w:rsidRPr="001F3797" w:rsidRDefault="00937C82" w:rsidP="0012049A">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Paediatric ONS 200ml drinks excluding tube feeding products</w:t>
            </w:r>
          </w:p>
        </w:tc>
        <w:tc>
          <w:tcPr>
            <w:tcW w:w="2500" w:type="dxa"/>
          </w:tcPr>
          <w:p w14:paraId="58805DEB" w14:textId="55C62B74" w:rsidR="00937C82" w:rsidRDefault="00937C82" w:rsidP="0012049A">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r w:rsidR="00357187">
              <w:rPr>
                <w:rFonts w:cstheme="minorHAnsi"/>
              </w:rPr>
              <w:t>8</w:t>
            </w:r>
            <w:r>
              <w:rPr>
                <w:rFonts w:cstheme="minorHAnsi"/>
              </w:rPr>
              <w:t>%</w:t>
            </w:r>
          </w:p>
        </w:tc>
      </w:tr>
      <w:tr w:rsidR="00937C82" w:rsidRPr="001F3797" w14:paraId="3DEC8399" w14:textId="4F9FE41A" w:rsidTr="00603DCB">
        <w:tc>
          <w:tcPr>
            <w:cnfStyle w:val="001000000000" w:firstRow="0" w:lastRow="0" w:firstColumn="1" w:lastColumn="0" w:oddVBand="0" w:evenVBand="0" w:oddHBand="0" w:evenHBand="0" w:firstRowFirstColumn="0" w:firstRowLastColumn="0" w:lastRowFirstColumn="0" w:lastRowLastColumn="0"/>
            <w:tcW w:w="2263" w:type="dxa"/>
          </w:tcPr>
          <w:p w14:paraId="2978BEE2" w14:textId="26C7F3FE" w:rsidR="00937C82" w:rsidRPr="001F3797" w:rsidRDefault="00937C82" w:rsidP="0012049A">
            <w:pPr>
              <w:rPr>
                <w:rFonts w:cstheme="minorHAnsi"/>
              </w:rPr>
            </w:pPr>
            <w:r>
              <w:rPr>
                <w:rFonts w:cstheme="minorHAnsi"/>
              </w:rPr>
              <w:t>Inhalers</w:t>
            </w:r>
          </w:p>
        </w:tc>
        <w:tc>
          <w:tcPr>
            <w:tcW w:w="4253" w:type="dxa"/>
          </w:tcPr>
          <w:p w14:paraId="7A0C1E1F" w14:textId="480582E6" w:rsidR="00937C82" w:rsidRPr="001F3797" w:rsidRDefault="00937C82" w:rsidP="00EA32D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Fixed dose inhalers</w:t>
            </w:r>
          </w:p>
        </w:tc>
        <w:tc>
          <w:tcPr>
            <w:tcW w:w="2500" w:type="dxa"/>
          </w:tcPr>
          <w:p w14:paraId="43FE8A38" w14:textId="01391968" w:rsidR="00937C82" w:rsidRDefault="00937C82" w:rsidP="00EA32D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w:t>
            </w:r>
          </w:p>
        </w:tc>
      </w:tr>
      <w:tr w:rsidR="00937C82" w:rsidRPr="001F3797" w14:paraId="15C31AF1" w14:textId="170958D8" w:rsidTr="00603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9772495" w14:textId="723DF91D" w:rsidR="00937C82" w:rsidRPr="001F3797" w:rsidRDefault="00937C82" w:rsidP="0012049A">
            <w:pPr>
              <w:rPr>
                <w:rFonts w:cstheme="minorHAnsi"/>
              </w:rPr>
            </w:pPr>
            <w:r>
              <w:rPr>
                <w:rFonts w:cstheme="minorHAnsi"/>
              </w:rPr>
              <w:t>Statins</w:t>
            </w:r>
          </w:p>
        </w:tc>
        <w:tc>
          <w:tcPr>
            <w:tcW w:w="4253" w:type="dxa"/>
          </w:tcPr>
          <w:p w14:paraId="6E037597" w14:textId="6E47790D" w:rsidR="00937C82" w:rsidRPr="001F3797" w:rsidRDefault="00937C82" w:rsidP="00EA32D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Solid oral one-a-day statins</w:t>
            </w:r>
          </w:p>
        </w:tc>
        <w:tc>
          <w:tcPr>
            <w:tcW w:w="2500" w:type="dxa"/>
          </w:tcPr>
          <w:p w14:paraId="5CA2096B" w14:textId="12E646B5" w:rsidR="00937C82" w:rsidRDefault="00937C82" w:rsidP="00EA32D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98%</w:t>
            </w:r>
          </w:p>
        </w:tc>
      </w:tr>
      <w:tr w:rsidR="00937C82" w:rsidRPr="001F3797" w14:paraId="7B651CAD" w14:textId="4F503B7E" w:rsidTr="00603DCB">
        <w:tc>
          <w:tcPr>
            <w:cnfStyle w:val="001000000000" w:firstRow="0" w:lastRow="0" w:firstColumn="1" w:lastColumn="0" w:oddVBand="0" w:evenVBand="0" w:oddHBand="0" w:evenHBand="0" w:firstRowFirstColumn="0" w:firstRowLastColumn="0" w:lastRowFirstColumn="0" w:lastRowLastColumn="0"/>
            <w:tcW w:w="2263" w:type="dxa"/>
          </w:tcPr>
          <w:p w14:paraId="78ED5767" w14:textId="66969D48" w:rsidR="00937C82" w:rsidRPr="001F3797" w:rsidRDefault="00937C82" w:rsidP="0012049A">
            <w:pPr>
              <w:rPr>
                <w:rFonts w:cstheme="minorHAnsi"/>
              </w:rPr>
            </w:pPr>
            <w:r>
              <w:rPr>
                <w:rFonts w:cstheme="minorHAnsi"/>
              </w:rPr>
              <w:t>Laxatives</w:t>
            </w:r>
          </w:p>
        </w:tc>
        <w:tc>
          <w:tcPr>
            <w:tcW w:w="4253" w:type="dxa"/>
          </w:tcPr>
          <w:p w14:paraId="573DDD71" w14:textId="30FABE23" w:rsidR="00937C82" w:rsidRPr="001F3797" w:rsidRDefault="00937C82" w:rsidP="00EA32D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Laxative tablets, capsules, sachets and liquid with a defined daily maximum dose</w:t>
            </w:r>
          </w:p>
        </w:tc>
        <w:tc>
          <w:tcPr>
            <w:tcW w:w="2500" w:type="dxa"/>
          </w:tcPr>
          <w:p w14:paraId="540720A5" w14:textId="04E1DD8D" w:rsidR="00937C82" w:rsidRDefault="00937C82" w:rsidP="00EA32D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85%*</w:t>
            </w:r>
          </w:p>
        </w:tc>
      </w:tr>
    </w:tbl>
    <w:p w14:paraId="39FC54E6" w14:textId="77777777" w:rsidR="00603DCB" w:rsidRDefault="00603DCB" w:rsidP="0077290A">
      <w:pPr>
        <w:rPr>
          <w:rFonts w:cstheme="minorHAnsi"/>
          <w:i/>
          <w:iCs/>
        </w:rPr>
      </w:pPr>
      <w:r w:rsidRPr="00603DCB">
        <w:rPr>
          <w:rFonts w:cstheme="minorHAnsi"/>
          <w:i/>
          <w:iCs/>
        </w:rPr>
        <w:t>*</w:t>
      </w:r>
      <w:r>
        <w:rPr>
          <w:rFonts w:cstheme="minorHAnsi"/>
          <w:i/>
          <w:iCs/>
        </w:rPr>
        <w:t xml:space="preserve"> </w:t>
      </w:r>
      <w:r w:rsidR="00937C82" w:rsidRPr="00603DCB">
        <w:rPr>
          <w:rFonts w:cstheme="minorHAnsi"/>
          <w:i/>
          <w:iCs/>
        </w:rPr>
        <w:t>of BNF section(s)</w:t>
      </w:r>
    </w:p>
    <w:p w14:paraId="4EA1A200" w14:textId="0FF6503E" w:rsidR="00603DCB" w:rsidRDefault="00116414" w:rsidP="0077290A">
      <w:pPr>
        <w:rPr>
          <w:rFonts w:cstheme="minorHAnsi"/>
        </w:rPr>
      </w:pPr>
      <w:r>
        <w:rPr>
          <w:rFonts w:cstheme="minorHAnsi"/>
        </w:rPr>
        <w:t>Patients may have some related prescribing that is not included in the dashboard, for example 15% of all laxatives prescribed are not included in the laxative metric. It is important that during medication reviews patients are reviewed holistically and not just for the drug items included within the dashboard. To assist this, when a patient request has been received the NHSBSA will include all metrics for the patients requested.</w:t>
      </w:r>
    </w:p>
    <w:p w14:paraId="4F7D5352" w14:textId="231BE0E6" w:rsidR="00937C82" w:rsidRDefault="00FA2DCE" w:rsidP="0077290A">
      <w:pPr>
        <w:rPr>
          <w:rFonts w:cstheme="minorHAnsi"/>
        </w:rPr>
      </w:pPr>
      <w:r>
        <w:rPr>
          <w:rFonts w:cstheme="minorHAnsi"/>
        </w:rPr>
        <w:t>Detailed list of items included in each category are included below or in the supporting Drug Group file maintained on the NHSBSA website</w:t>
      </w:r>
      <w:r w:rsidR="00DC3DE2">
        <w:rPr>
          <w:rFonts w:cstheme="minorHAnsi"/>
        </w:rPr>
        <w:t xml:space="preserve"> or in </w:t>
      </w:r>
      <w:hyperlink w:anchor="_Appendix_1:_Medicine" w:history="1">
        <w:r w:rsidR="00DC3DE2" w:rsidRPr="00DC3DE2">
          <w:rPr>
            <w:rStyle w:val="Hyperlink"/>
            <w:rFonts w:cstheme="minorHAnsi"/>
          </w:rPr>
          <w:t>appendix 1</w:t>
        </w:r>
      </w:hyperlink>
      <w:r w:rsidR="00DC3DE2">
        <w:rPr>
          <w:rFonts w:cstheme="minorHAnsi"/>
        </w:rPr>
        <w:t xml:space="preserve"> below.</w:t>
      </w:r>
    </w:p>
    <w:p w14:paraId="6042A329" w14:textId="77777777" w:rsidR="00403661" w:rsidRDefault="00403661" w:rsidP="0077290A">
      <w:pPr>
        <w:rPr>
          <w:rFonts w:cstheme="minorHAnsi"/>
        </w:rPr>
      </w:pPr>
    </w:p>
    <w:p w14:paraId="31747E7C" w14:textId="77777777" w:rsidR="00403661" w:rsidRDefault="00403661" w:rsidP="0077290A">
      <w:pPr>
        <w:rPr>
          <w:rFonts w:cstheme="minorHAnsi"/>
        </w:rPr>
      </w:pPr>
    </w:p>
    <w:p w14:paraId="44BD72FC" w14:textId="06A789A5" w:rsidR="00B2352D" w:rsidRPr="001F3797" w:rsidRDefault="003E25A3" w:rsidP="00872372">
      <w:pPr>
        <w:pStyle w:val="Heading1"/>
        <w:numPr>
          <w:ilvl w:val="1"/>
          <w:numId w:val="11"/>
        </w:numPr>
      </w:pPr>
      <w:bookmarkStart w:id="5" w:name="_Toc165029566"/>
      <w:r>
        <w:lastRenderedPageBreak/>
        <w:t>Oversupply thresholds</w:t>
      </w:r>
      <w:bookmarkEnd w:id="5"/>
    </w:p>
    <w:p w14:paraId="1792EE65" w14:textId="450FBFAE" w:rsidR="003B7B62" w:rsidRDefault="009B40C8" w:rsidP="003B7B62">
      <w:pPr>
        <w:rPr>
          <w:rFonts w:cstheme="minorHAnsi"/>
        </w:rPr>
      </w:pPr>
      <w:r>
        <w:rPr>
          <w:rFonts w:cstheme="minorHAnsi"/>
        </w:rPr>
        <w:t xml:space="preserve">Thresholds have been set </w:t>
      </w:r>
      <w:r w:rsidR="00BE6075">
        <w:rPr>
          <w:rFonts w:cstheme="minorHAnsi"/>
        </w:rPr>
        <w:t xml:space="preserve">by the Short Life Working Group and should be treated as guidance or best practice – there may and indeed will be cases where due to specific circumstances the patient may have required an excess of medication, for example being given an excess supply for during extended travel, or where a patient’s symptom management required switching medications multiple times within the 12-month rolling period. However, in typical prescribing we would not expect to see quantities </w:t>
      </w:r>
      <w:proofErr w:type="gramStart"/>
      <w:r w:rsidR="00BE6075">
        <w:rPr>
          <w:rFonts w:cstheme="minorHAnsi"/>
        </w:rPr>
        <w:t>in excess of</w:t>
      </w:r>
      <w:proofErr w:type="gramEnd"/>
      <w:r w:rsidR="00BE6075">
        <w:rPr>
          <w:rFonts w:cstheme="minorHAnsi"/>
        </w:rPr>
        <w:t xml:space="preserve"> the defined threshold.</w:t>
      </w:r>
    </w:p>
    <w:p w14:paraId="3D58390B" w14:textId="6CF04FE9" w:rsidR="001115F2" w:rsidRPr="001115F2" w:rsidRDefault="001115F2" w:rsidP="003B7B62">
      <w:pPr>
        <w:rPr>
          <w:rFonts w:cstheme="minorHAnsi"/>
          <w:i/>
          <w:iCs/>
        </w:rPr>
      </w:pPr>
      <w:r>
        <w:rPr>
          <w:rFonts w:cstheme="minorHAnsi"/>
          <w:i/>
          <w:iCs/>
        </w:rPr>
        <w:t>Table 4.2.1 Oversupply thresholds and rationale</w:t>
      </w:r>
    </w:p>
    <w:tbl>
      <w:tblPr>
        <w:tblStyle w:val="ListTable4-Accent1"/>
        <w:tblW w:w="9016" w:type="dxa"/>
        <w:tblLook w:val="04A0" w:firstRow="1" w:lastRow="0" w:firstColumn="1" w:lastColumn="0" w:noHBand="0" w:noVBand="1"/>
      </w:tblPr>
      <w:tblGrid>
        <w:gridCol w:w="2023"/>
        <w:gridCol w:w="1374"/>
        <w:gridCol w:w="5619"/>
      </w:tblGrid>
      <w:tr w:rsidR="001115F2" w14:paraId="7C30B879" w14:textId="77777777" w:rsidTr="001115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Pr>
          <w:p w14:paraId="2A9B0284" w14:textId="77777777" w:rsidR="001115F2" w:rsidRPr="001F3797" w:rsidRDefault="001115F2" w:rsidP="00AB7FC7">
            <w:pPr>
              <w:rPr>
                <w:rFonts w:cstheme="minorHAnsi"/>
              </w:rPr>
            </w:pPr>
            <w:r>
              <w:rPr>
                <w:rFonts w:cstheme="minorHAnsi"/>
              </w:rPr>
              <w:t>Drug Group</w:t>
            </w:r>
          </w:p>
        </w:tc>
        <w:tc>
          <w:tcPr>
            <w:tcW w:w="1374" w:type="dxa"/>
          </w:tcPr>
          <w:p w14:paraId="6FE202F8" w14:textId="75B19641" w:rsidR="001115F2" w:rsidRDefault="001115F2" w:rsidP="00AB7FC7">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Threshold</w:t>
            </w:r>
          </w:p>
        </w:tc>
        <w:tc>
          <w:tcPr>
            <w:tcW w:w="5619" w:type="dxa"/>
          </w:tcPr>
          <w:p w14:paraId="17BC520E" w14:textId="171731E6" w:rsidR="001115F2" w:rsidRPr="001F3797" w:rsidRDefault="001115F2" w:rsidP="00AB7FC7">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Threshold rationale</w:t>
            </w:r>
          </w:p>
        </w:tc>
      </w:tr>
      <w:tr w:rsidR="001115F2" w14:paraId="2C20945A" w14:textId="77777777" w:rsidTr="00111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Pr>
          <w:p w14:paraId="7421E434" w14:textId="77777777" w:rsidR="001115F2" w:rsidRPr="001F3797" w:rsidRDefault="001115F2" w:rsidP="00AB7FC7">
            <w:pPr>
              <w:rPr>
                <w:rFonts w:cstheme="minorHAnsi"/>
              </w:rPr>
            </w:pPr>
            <w:r>
              <w:rPr>
                <w:rFonts w:cstheme="minorHAnsi"/>
              </w:rPr>
              <w:t>Antiplatelets excluding aspirin</w:t>
            </w:r>
          </w:p>
        </w:tc>
        <w:tc>
          <w:tcPr>
            <w:tcW w:w="1374" w:type="dxa"/>
          </w:tcPr>
          <w:p w14:paraId="1C7E9732" w14:textId="31239761" w:rsidR="001115F2" w:rsidRDefault="001115F2" w:rsidP="00AB7FC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392</w:t>
            </w:r>
          </w:p>
        </w:tc>
        <w:tc>
          <w:tcPr>
            <w:tcW w:w="5619" w:type="dxa"/>
          </w:tcPr>
          <w:p w14:paraId="5AF953EC" w14:textId="4C98C9B2" w:rsidR="001115F2" w:rsidRPr="00532378" w:rsidRDefault="001115F2" w:rsidP="00AB7FC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1 per day of clopidogrel 75mg, prasugrel 5mg or 10mg </w:t>
            </w:r>
            <w:r>
              <w:rPr>
                <w:rFonts w:cstheme="minorHAnsi"/>
                <w:i/>
                <w:iCs/>
              </w:rPr>
              <w:t>and/or</w:t>
            </w:r>
          </w:p>
          <w:p w14:paraId="445FE253" w14:textId="77777777" w:rsidR="001115F2" w:rsidRDefault="001115F2" w:rsidP="00AB7FC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 per day of dipyridamole 200mg or ticagrelor 60mg or 90mg</w:t>
            </w:r>
          </w:p>
          <w:p w14:paraId="533C8E9C" w14:textId="59BD0BE0" w:rsidR="001115F2" w:rsidRPr="001F3797" w:rsidRDefault="001115F2" w:rsidP="00AB7FC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Plus 28 days for claim frictions</w:t>
            </w:r>
          </w:p>
        </w:tc>
      </w:tr>
      <w:tr w:rsidR="001115F2" w14:paraId="6E428DAD" w14:textId="77777777" w:rsidTr="001115F2">
        <w:tc>
          <w:tcPr>
            <w:cnfStyle w:val="001000000000" w:firstRow="0" w:lastRow="0" w:firstColumn="1" w:lastColumn="0" w:oddVBand="0" w:evenVBand="0" w:oddHBand="0" w:evenHBand="0" w:firstRowFirstColumn="0" w:firstRowLastColumn="0" w:lastRowFirstColumn="0" w:lastRowLastColumn="0"/>
            <w:tcW w:w="2023" w:type="dxa"/>
          </w:tcPr>
          <w:p w14:paraId="78E81450" w14:textId="77777777" w:rsidR="001115F2" w:rsidRPr="001F3797" w:rsidRDefault="001115F2" w:rsidP="00AB7FC7">
            <w:pPr>
              <w:rPr>
                <w:rFonts w:cstheme="minorHAnsi"/>
              </w:rPr>
            </w:pPr>
            <w:r>
              <w:rPr>
                <w:rFonts w:cstheme="minorHAnsi"/>
              </w:rPr>
              <w:t>Aspirin</w:t>
            </w:r>
          </w:p>
        </w:tc>
        <w:tc>
          <w:tcPr>
            <w:tcW w:w="1374" w:type="dxa"/>
          </w:tcPr>
          <w:p w14:paraId="6F55D91A" w14:textId="5DD9C275" w:rsidR="001115F2" w:rsidRDefault="001115F2" w:rsidP="00AB7FC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392</w:t>
            </w:r>
          </w:p>
        </w:tc>
        <w:tc>
          <w:tcPr>
            <w:tcW w:w="5619" w:type="dxa"/>
          </w:tcPr>
          <w:p w14:paraId="6281D86F" w14:textId="3F7B115C" w:rsidR="001115F2" w:rsidRDefault="001115F2" w:rsidP="00AB7FC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1 per day </w:t>
            </w:r>
          </w:p>
          <w:p w14:paraId="7A60362C" w14:textId="2798C756" w:rsidR="001115F2" w:rsidRPr="001F3797" w:rsidRDefault="001115F2" w:rsidP="00AB7FC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Plus 28 days for claim frictions</w:t>
            </w:r>
          </w:p>
        </w:tc>
      </w:tr>
      <w:tr w:rsidR="001115F2" w14:paraId="6AAAF850" w14:textId="77777777" w:rsidTr="00111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Pr>
          <w:p w14:paraId="0A422AB3" w14:textId="77777777" w:rsidR="001115F2" w:rsidRPr="001F3797" w:rsidRDefault="001115F2" w:rsidP="00AB7FC7">
            <w:pPr>
              <w:rPr>
                <w:rFonts w:cstheme="minorHAnsi"/>
              </w:rPr>
            </w:pPr>
            <w:r>
              <w:rPr>
                <w:rFonts w:cstheme="minorHAnsi"/>
              </w:rPr>
              <w:t>Blood Glucose Testing Strips</w:t>
            </w:r>
          </w:p>
        </w:tc>
        <w:tc>
          <w:tcPr>
            <w:tcW w:w="1374" w:type="dxa"/>
          </w:tcPr>
          <w:p w14:paraId="20685794" w14:textId="2920E35C" w:rsidR="001115F2" w:rsidRDefault="001115F2" w:rsidP="00AB7FC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200 – 3,750</w:t>
            </w:r>
          </w:p>
        </w:tc>
        <w:tc>
          <w:tcPr>
            <w:tcW w:w="5619" w:type="dxa"/>
          </w:tcPr>
          <w:p w14:paraId="276CCA74" w14:textId="4B769CC0" w:rsidR="001115F2" w:rsidRPr="001F3797" w:rsidRDefault="001115F2" w:rsidP="00AB7FC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Dependent on patient’s other diabetes prescribing, see table below</w:t>
            </w:r>
          </w:p>
        </w:tc>
      </w:tr>
      <w:tr w:rsidR="001115F2" w14:paraId="5F7BF0DC" w14:textId="77777777" w:rsidTr="001115F2">
        <w:tc>
          <w:tcPr>
            <w:cnfStyle w:val="001000000000" w:firstRow="0" w:lastRow="0" w:firstColumn="1" w:lastColumn="0" w:oddVBand="0" w:evenVBand="0" w:oddHBand="0" w:evenHBand="0" w:firstRowFirstColumn="0" w:firstRowLastColumn="0" w:lastRowFirstColumn="0" w:lastRowLastColumn="0"/>
            <w:tcW w:w="2023" w:type="dxa"/>
          </w:tcPr>
          <w:p w14:paraId="3C051364" w14:textId="77777777" w:rsidR="001115F2" w:rsidRPr="001F3797" w:rsidRDefault="001115F2" w:rsidP="00AB7FC7">
            <w:pPr>
              <w:rPr>
                <w:rFonts w:cstheme="minorHAnsi"/>
              </w:rPr>
            </w:pPr>
            <w:r>
              <w:rPr>
                <w:rFonts w:cstheme="minorHAnsi"/>
              </w:rPr>
              <w:t>Blood Glucose Sensors</w:t>
            </w:r>
          </w:p>
        </w:tc>
        <w:tc>
          <w:tcPr>
            <w:tcW w:w="1374" w:type="dxa"/>
          </w:tcPr>
          <w:p w14:paraId="0C318FF1" w14:textId="6FFA0014" w:rsidR="001115F2" w:rsidRDefault="00E34E6E" w:rsidP="00AB7FC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420</w:t>
            </w:r>
          </w:p>
        </w:tc>
        <w:tc>
          <w:tcPr>
            <w:tcW w:w="5619" w:type="dxa"/>
          </w:tcPr>
          <w:p w14:paraId="37F19F67" w14:textId="77777777" w:rsidR="001115F2" w:rsidRDefault="008A7D18" w:rsidP="00AB7FC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Enough sensors to last the duration of 420 days. </w:t>
            </w:r>
          </w:p>
          <w:p w14:paraId="29C5C69C" w14:textId="5FCCDDA6" w:rsidR="008A7D18" w:rsidRPr="001F3797" w:rsidRDefault="008A7D18" w:rsidP="00AB7FC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Different sensors have different durations therefore 420 is the expected duration</w:t>
            </w:r>
          </w:p>
        </w:tc>
      </w:tr>
      <w:tr w:rsidR="00820BC1" w14:paraId="7250D02E" w14:textId="77777777" w:rsidTr="00111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Pr>
          <w:p w14:paraId="78D204F7" w14:textId="63CF2CD6" w:rsidR="00820BC1" w:rsidRDefault="00820BC1" w:rsidP="00AB7FC7">
            <w:pPr>
              <w:rPr>
                <w:rFonts w:cstheme="minorHAnsi"/>
              </w:rPr>
            </w:pPr>
            <w:r>
              <w:rPr>
                <w:rFonts w:cstheme="minorHAnsi"/>
              </w:rPr>
              <w:t>Oral Anticoagulants</w:t>
            </w:r>
          </w:p>
        </w:tc>
        <w:tc>
          <w:tcPr>
            <w:tcW w:w="1374" w:type="dxa"/>
          </w:tcPr>
          <w:p w14:paraId="2C1581AD" w14:textId="2F53C749" w:rsidR="00820BC1" w:rsidRDefault="00A947FB" w:rsidP="00AB7FC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r w:rsidR="00866F2C">
              <w:rPr>
                <w:rFonts w:cstheme="minorHAnsi"/>
              </w:rPr>
              <w:t>92</w:t>
            </w:r>
          </w:p>
        </w:tc>
        <w:tc>
          <w:tcPr>
            <w:tcW w:w="5619" w:type="dxa"/>
          </w:tcPr>
          <w:p w14:paraId="0D225E3F" w14:textId="16B2AA1F" w:rsidR="00820BC1" w:rsidRDefault="002E12F3" w:rsidP="00AB7FC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 per day of apixaban</w:t>
            </w:r>
            <w:r w:rsidR="00A70E98">
              <w:rPr>
                <w:rFonts w:cstheme="minorHAnsi"/>
              </w:rPr>
              <w:t xml:space="preserve">, </w:t>
            </w:r>
            <w:r>
              <w:rPr>
                <w:rFonts w:cstheme="minorHAnsi"/>
              </w:rPr>
              <w:t>dabigatran</w:t>
            </w:r>
            <w:r w:rsidR="00A70E98">
              <w:rPr>
                <w:rFonts w:cstheme="minorHAnsi"/>
              </w:rPr>
              <w:t xml:space="preserve"> or 2.5mg or 15mg rivaroxaban</w:t>
            </w:r>
          </w:p>
          <w:p w14:paraId="5BA71549" w14:textId="7B614DF6" w:rsidR="00F073F8" w:rsidRPr="00F073F8" w:rsidRDefault="00F073F8" w:rsidP="00AB7FC7">
            <w:pPr>
              <w:cnfStyle w:val="000000100000" w:firstRow="0" w:lastRow="0" w:firstColumn="0" w:lastColumn="0" w:oddVBand="0" w:evenVBand="0" w:oddHBand="1" w:evenHBand="0" w:firstRowFirstColumn="0" w:firstRowLastColumn="0" w:lastRowFirstColumn="0" w:lastRowLastColumn="0"/>
              <w:rPr>
                <w:rFonts w:cstheme="minorHAnsi"/>
                <w:i/>
                <w:iCs/>
              </w:rPr>
            </w:pPr>
            <w:r w:rsidRPr="00F073F8">
              <w:rPr>
                <w:rFonts w:cstheme="minorHAnsi"/>
                <w:i/>
                <w:iCs/>
              </w:rPr>
              <w:t>and/or</w:t>
            </w:r>
          </w:p>
          <w:p w14:paraId="03CEB4B8" w14:textId="6A0CA5E2" w:rsidR="00F073F8" w:rsidRDefault="00F073F8" w:rsidP="00AB7FC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60mg per day of </w:t>
            </w:r>
            <w:proofErr w:type="spellStart"/>
            <w:r w:rsidR="00BA689A">
              <w:rPr>
                <w:rFonts w:cstheme="minorHAnsi"/>
              </w:rPr>
              <w:t>edoxaban</w:t>
            </w:r>
            <w:proofErr w:type="spellEnd"/>
          </w:p>
          <w:p w14:paraId="6D0A3783" w14:textId="77777777" w:rsidR="00F073F8" w:rsidRPr="00F073F8" w:rsidRDefault="00F073F8" w:rsidP="00AB7FC7">
            <w:pPr>
              <w:cnfStyle w:val="000000100000" w:firstRow="0" w:lastRow="0" w:firstColumn="0" w:lastColumn="0" w:oddVBand="0" w:evenVBand="0" w:oddHBand="1" w:evenHBand="0" w:firstRowFirstColumn="0" w:firstRowLastColumn="0" w:lastRowFirstColumn="0" w:lastRowLastColumn="0"/>
              <w:rPr>
                <w:rFonts w:cstheme="minorHAnsi"/>
                <w:i/>
                <w:iCs/>
              </w:rPr>
            </w:pPr>
            <w:r w:rsidRPr="00F073F8">
              <w:rPr>
                <w:rFonts w:cstheme="minorHAnsi"/>
                <w:i/>
                <w:iCs/>
              </w:rPr>
              <w:t>and/or</w:t>
            </w:r>
          </w:p>
          <w:p w14:paraId="02576D7A" w14:textId="77777777" w:rsidR="00A70E98" w:rsidRDefault="001620DF" w:rsidP="00AB7FC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1 per day </w:t>
            </w:r>
            <w:r w:rsidR="00D85708">
              <w:rPr>
                <w:rFonts w:cstheme="minorHAnsi"/>
              </w:rPr>
              <w:t>10mg or 20mg rivaroxaban</w:t>
            </w:r>
          </w:p>
          <w:p w14:paraId="10805F8C" w14:textId="42EED1BE" w:rsidR="00A70E98" w:rsidRPr="00A70E98" w:rsidRDefault="00A70E98" w:rsidP="00AB7FC7">
            <w:pPr>
              <w:cnfStyle w:val="000000100000" w:firstRow="0" w:lastRow="0" w:firstColumn="0" w:lastColumn="0" w:oddVBand="0" w:evenVBand="0" w:oddHBand="1" w:evenHBand="0" w:firstRowFirstColumn="0" w:firstRowLastColumn="0" w:lastRowFirstColumn="0" w:lastRowLastColumn="0"/>
              <w:rPr>
                <w:rFonts w:cstheme="minorHAnsi"/>
                <w:i/>
                <w:iCs/>
              </w:rPr>
            </w:pPr>
            <w:r w:rsidRPr="00A70E98">
              <w:rPr>
                <w:rFonts w:cstheme="minorHAnsi"/>
                <w:i/>
                <w:iCs/>
              </w:rPr>
              <w:t xml:space="preserve">and/or </w:t>
            </w:r>
          </w:p>
          <w:p w14:paraId="515DDCC2" w14:textId="77777777" w:rsidR="00F073F8" w:rsidRDefault="00A70E98" w:rsidP="00AB7FC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30mg per day </w:t>
            </w:r>
            <w:r w:rsidR="00AA0C3F">
              <w:rPr>
                <w:rFonts w:cstheme="minorHAnsi"/>
              </w:rPr>
              <w:t>1mg/ml rivaroxaban suspension</w:t>
            </w:r>
          </w:p>
          <w:p w14:paraId="501C8CC2" w14:textId="50338910" w:rsidR="002C4826" w:rsidRDefault="002C4826" w:rsidP="00AB7FC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Plus 28 days for claim frictions</w:t>
            </w:r>
          </w:p>
        </w:tc>
      </w:tr>
      <w:tr w:rsidR="001115F2" w14:paraId="096304E9" w14:textId="77777777" w:rsidTr="001115F2">
        <w:tc>
          <w:tcPr>
            <w:cnfStyle w:val="001000000000" w:firstRow="0" w:lastRow="0" w:firstColumn="1" w:lastColumn="0" w:oddVBand="0" w:evenVBand="0" w:oddHBand="0" w:evenHBand="0" w:firstRowFirstColumn="0" w:firstRowLastColumn="0" w:lastRowFirstColumn="0" w:lastRowLastColumn="0"/>
            <w:tcW w:w="2023" w:type="dxa"/>
          </w:tcPr>
          <w:p w14:paraId="30D3FEFD" w14:textId="77777777" w:rsidR="001115F2" w:rsidRPr="001F3797" w:rsidRDefault="001115F2" w:rsidP="00AB7FC7">
            <w:pPr>
              <w:rPr>
                <w:rFonts w:cstheme="minorHAnsi"/>
              </w:rPr>
            </w:pPr>
            <w:r>
              <w:rPr>
                <w:rFonts w:cstheme="minorHAnsi"/>
              </w:rPr>
              <w:t>Oral Nutritional Supplements</w:t>
            </w:r>
          </w:p>
        </w:tc>
        <w:tc>
          <w:tcPr>
            <w:tcW w:w="1374" w:type="dxa"/>
          </w:tcPr>
          <w:p w14:paraId="16CA6104" w14:textId="53EEB6F6" w:rsidR="001115F2" w:rsidRDefault="001115F2" w:rsidP="00AB7FC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364</w:t>
            </w:r>
          </w:p>
        </w:tc>
        <w:tc>
          <w:tcPr>
            <w:tcW w:w="5619" w:type="dxa"/>
          </w:tcPr>
          <w:p w14:paraId="4FEA0C4C" w14:textId="646BCDFD" w:rsidR="001115F2" w:rsidRPr="001F3797" w:rsidRDefault="001115F2" w:rsidP="00AB7FC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 drinks per day for a maximum 6 months (no claim friction allowance)</w:t>
            </w:r>
          </w:p>
        </w:tc>
      </w:tr>
      <w:tr w:rsidR="001115F2" w14:paraId="0B1B8141" w14:textId="77777777" w:rsidTr="00111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Pr>
          <w:p w14:paraId="36C0133F" w14:textId="77777777" w:rsidR="001115F2" w:rsidRPr="001F3797" w:rsidRDefault="001115F2" w:rsidP="00AB7FC7">
            <w:pPr>
              <w:rPr>
                <w:rFonts w:cstheme="minorHAnsi"/>
              </w:rPr>
            </w:pPr>
            <w:r>
              <w:rPr>
                <w:rFonts w:cstheme="minorHAnsi"/>
              </w:rPr>
              <w:t>Paediatric Oral Nutritional Supplements</w:t>
            </w:r>
          </w:p>
        </w:tc>
        <w:tc>
          <w:tcPr>
            <w:tcW w:w="1374" w:type="dxa"/>
          </w:tcPr>
          <w:p w14:paraId="19D832B5" w14:textId="72477D26" w:rsidR="001115F2" w:rsidRDefault="001115F2" w:rsidP="00AB7FC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364</w:t>
            </w:r>
          </w:p>
        </w:tc>
        <w:tc>
          <w:tcPr>
            <w:tcW w:w="5619" w:type="dxa"/>
          </w:tcPr>
          <w:p w14:paraId="01AF1EFF" w14:textId="6CF8A4D3" w:rsidR="001115F2" w:rsidRPr="001F3797" w:rsidRDefault="001115F2" w:rsidP="00AB7FC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 drinks per day for a maximum 6 months (no claim friction allowance)</w:t>
            </w:r>
          </w:p>
        </w:tc>
      </w:tr>
      <w:tr w:rsidR="001115F2" w14:paraId="7E388B0B" w14:textId="77777777" w:rsidTr="001115F2">
        <w:tc>
          <w:tcPr>
            <w:cnfStyle w:val="001000000000" w:firstRow="0" w:lastRow="0" w:firstColumn="1" w:lastColumn="0" w:oddVBand="0" w:evenVBand="0" w:oddHBand="0" w:evenHBand="0" w:firstRowFirstColumn="0" w:firstRowLastColumn="0" w:lastRowFirstColumn="0" w:lastRowLastColumn="0"/>
            <w:tcW w:w="2023" w:type="dxa"/>
          </w:tcPr>
          <w:p w14:paraId="393A488C" w14:textId="77777777" w:rsidR="001115F2" w:rsidRPr="001F3797" w:rsidRDefault="001115F2" w:rsidP="00AB7FC7">
            <w:pPr>
              <w:rPr>
                <w:rFonts w:cstheme="minorHAnsi"/>
              </w:rPr>
            </w:pPr>
            <w:r>
              <w:rPr>
                <w:rFonts w:cstheme="minorHAnsi"/>
              </w:rPr>
              <w:t>Inhalers</w:t>
            </w:r>
          </w:p>
        </w:tc>
        <w:tc>
          <w:tcPr>
            <w:tcW w:w="1374" w:type="dxa"/>
          </w:tcPr>
          <w:p w14:paraId="19FB35EA" w14:textId="7C7A045D" w:rsidR="001115F2" w:rsidRDefault="001115F2" w:rsidP="00AB7FC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13</w:t>
            </w:r>
          </w:p>
        </w:tc>
        <w:tc>
          <w:tcPr>
            <w:tcW w:w="5619" w:type="dxa"/>
          </w:tcPr>
          <w:p w14:paraId="65D01CE6" w14:textId="161E0D91" w:rsidR="001115F2" w:rsidRDefault="001115F2" w:rsidP="00AB7FC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1 inhaler per 30 days </w:t>
            </w:r>
            <w:r w:rsidRPr="00532378">
              <w:rPr>
                <w:rFonts w:cstheme="minorHAnsi"/>
                <w:i/>
                <w:iCs/>
              </w:rPr>
              <w:t>and/</w:t>
            </w:r>
            <w:r>
              <w:rPr>
                <w:rFonts w:cstheme="minorHAnsi"/>
                <w:i/>
                <w:iCs/>
              </w:rPr>
              <w:t>or</w:t>
            </w:r>
          </w:p>
          <w:p w14:paraId="2B3FBD2B" w14:textId="4CA344B2" w:rsidR="001115F2" w:rsidRDefault="001115F2" w:rsidP="00AB7FC7">
            <w:pPr>
              <w:cnfStyle w:val="000000000000" w:firstRow="0" w:lastRow="0" w:firstColumn="0" w:lastColumn="0" w:oddVBand="0" w:evenVBand="0" w:oddHBand="0" w:evenHBand="0" w:firstRowFirstColumn="0" w:firstRowLastColumn="0" w:lastRowFirstColumn="0" w:lastRowLastColumn="0"/>
              <w:rPr>
                <w:rFonts w:cstheme="minorHAnsi"/>
                <w:i/>
                <w:iCs/>
              </w:rPr>
            </w:pPr>
            <w:r>
              <w:rPr>
                <w:rFonts w:cstheme="minorHAnsi"/>
              </w:rPr>
              <w:t xml:space="preserve">30 tablets per 30 days (rounded down) </w:t>
            </w:r>
            <w:r>
              <w:rPr>
                <w:rFonts w:cstheme="minorHAnsi"/>
                <w:i/>
                <w:iCs/>
              </w:rPr>
              <w:t>and/or</w:t>
            </w:r>
          </w:p>
          <w:p w14:paraId="27F56231" w14:textId="39DF2CE1" w:rsidR="001115F2" w:rsidRDefault="001115F2" w:rsidP="00AB7FC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 combination of full inhalers per 30 days and 30 tablets per 30 days (rounded down)</w:t>
            </w:r>
          </w:p>
          <w:p w14:paraId="0BFDE39A" w14:textId="40EF312F" w:rsidR="001115F2" w:rsidRPr="00532378" w:rsidRDefault="001115F2" w:rsidP="00AB7FC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Plus 1 inhaler or 30 tablets (rounded down) for claim frictions</w:t>
            </w:r>
          </w:p>
        </w:tc>
      </w:tr>
      <w:tr w:rsidR="001115F2" w14:paraId="00101BE1" w14:textId="77777777" w:rsidTr="00111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Pr>
          <w:p w14:paraId="5A3B0F2B" w14:textId="77777777" w:rsidR="001115F2" w:rsidRPr="001F3797" w:rsidRDefault="001115F2" w:rsidP="00AB7FC7">
            <w:pPr>
              <w:rPr>
                <w:rFonts w:cstheme="minorHAnsi"/>
              </w:rPr>
            </w:pPr>
            <w:r>
              <w:rPr>
                <w:rFonts w:cstheme="minorHAnsi"/>
              </w:rPr>
              <w:t>Statins</w:t>
            </w:r>
          </w:p>
        </w:tc>
        <w:tc>
          <w:tcPr>
            <w:tcW w:w="1374" w:type="dxa"/>
          </w:tcPr>
          <w:p w14:paraId="7D3691F4" w14:textId="50AB44C0" w:rsidR="001115F2" w:rsidRDefault="001115F2" w:rsidP="00AB7FC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392</w:t>
            </w:r>
          </w:p>
        </w:tc>
        <w:tc>
          <w:tcPr>
            <w:tcW w:w="5619" w:type="dxa"/>
          </w:tcPr>
          <w:p w14:paraId="4881F000" w14:textId="55501B5D" w:rsidR="001115F2" w:rsidRDefault="001115F2" w:rsidP="00AB7FC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1 per day </w:t>
            </w:r>
          </w:p>
          <w:p w14:paraId="26C1CD4C" w14:textId="4FAB1557" w:rsidR="001115F2" w:rsidRPr="001F3797" w:rsidRDefault="001115F2" w:rsidP="00AB7FC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Plus 28 days for claim frictions</w:t>
            </w:r>
          </w:p>
        </w:tc>
      </w:tr>
      <w:tr w:rsidR="001115F2" w14:paraId="1231511E" w14:textId="77777777" w:rsidTr="001115F2">
        <w:tc>
          <w:tcPr>
            <w:cnfStyle w:val="001000000000" w:firstRow="0" w:lastRow="0" w:firstColumn="1" w:lastColumn="0" w:oddVBand="0" w:evenVBand="0" w:oddHBand="0" w:evenHBand="0" w:firstRowFirstColumn="0" w:firstRowLastColumn="0" w:lastRowFirstColumn="0" w:lastRowLastColumn="0"/>
            <w:tcW w:w="2023" w:type="dxa"/>
          </w:tcPr>
          <w:p w14:paraId="050A2C22" w14:textId="77777777" w:rsidR="001115F2" w:rsidRPr="001F3797" w:rsidRDefault="001115F2" w:rsidP="00AB7FC7">
            <w:pPr>
              <w:rPr>
                <w:rFonts w:cstheme="minorHAnsi"/>
              </w:rPr>
            </w:pPr>
            <w:r>
              <w:rPr>
                <w:rFonts w:cstheme="minorHAnsi"/>
              </w:rPr>
              <w:t>Laxatives</w:t>
            </w:r>
          </w:p>
        </w:tc>
        <w:tc>
          <w:tcPr>
            <w:tcW w:w="1374" w:type="dxa"/>
          </w:tcPr>
          <w:p w14:paraId="1D45B24F" w14:textId="27E5775D" w:rsidR="001115F2" w:rsidRDefault="001115F2" w:rsidP="00AB7FC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182</w:t>
            </w:r>
          </w:p>
        </w:tc>
        <w:tc>
          <w:tcPr>
            <w:tcW w:w="5619" w:type="dxa"/>
          </w:tcPr>
          <w:p w14:paraId="724BB9F7" w14:textId="318A2F4F" w:rsidR="001115F2" w:rsidRPr="001F3797" w:rsidRDefault="001115F2" w:rsidP="00AB7FC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182 days prescribing at maximum strength (no claim friction allowance)</w:t>
            </w:r>
          </w:p>
        </w:tc>
      </w:tr>
    </w:tbl>
    <w:p w14:paraId="131733F4" w14:textId="685DD0E0" w:rsidR="00BE6075" w:rsidRDefault="00BE6075" w:rsidP="003B7B62">
      <w:pPr>
        <w:rPr>
          <w:rFonts w:cstheme="minorHAnsi"/>
        </w:rPr>
      </w:pPr>
    </w:p>
    <w:p w14:paraId="4F776BC8" w14:textId="50A94A55" w:rsidR="00532378" w:rsidRDefault="00532378" w:rsidP="003B7B62">
      <w:pPr>
        <w:rPr>
          <w:rFonts w:cstheme="minorHAnsi"/>
        </w:rPr>
      </w:pPr>
      <w:r>
        <w:rPr>
          <w:rFonts w:cstheme="minorHAnsi"/>
        </w:rPr>
        <w:t>A detailed breakdown of the weighting for each presentation is available on the Drug Lists table – for example, 1 typically refers to 1 per day, 2 refers to 2 per day etc. For oral nutrition products, this is the number of millilitres per drink (200 refers to 200ml drink, 250 refers to 250ml drink), for laxatives this can either refer to number of tablets/capsules/sachets per day, or maximum millilitres per day.</w:t>
      </w:r>
    </w:p>
    <w:p w14:paraId="5A05755F" w14:textId="52B0EAF0" w:rsidR="001115F2" w:rsidRDefault="001115F2" w:rsidP="003B7B62">
      <w:pPr>
        <w:rPr>
          <w:rFonts w:cstheme="minorHAnsi"/>
        </w:rPr>
      </w:pPr>
      <w:r>
        <w:rPr>
          <w:rFonts w:cstheme="minorHAnsi"/>
        </w:rPr>
        <w:t xml:space="preserve">For blood glucose test strips, the threshold is dependent on what other prescribing the patient has received in the 12 months to reporting date. Broadly, groups 1 to 3 are for patients who have not received insulin within the </w:t>
      </w:r>
      <w:proofErr w:type="gramStart"/>
      <w:r>
        <w:rPr>
          <w:rFonts w:cstheme="minorHAnsi"/>
        </w:rPr>
        <w:t>12 month</w:t>
      </w:r>
      <w:proofErr w:type="gramEnd"/>
      <w:r>
        <w:rPr>
          <w:rFonts w:cstheme="minorHAnsi"/>
        </w:rPr>
        <w:t xml:space="preserve"> period, and groups 4 and 5 are for patients who have received insulin in the </w:t>
      </w:r>
      <w:proofErr w:type="gramStart"/>
      <w:r>
        <w:rPr>
          <w:rFonts w:cstheme="minorHAnsi"/>
        </w:rPr>
        <w:t>12 month</w:t>
      </w:r>
      <w:proofErr w:type="gramEnd"/>
      <w:r>
        <w:rPr>
          <w:rFonts w:cstheme="minorHAnsi"/>
        </w:rPr>
        <w:t xml:space="preserve"> period. </w:t>
      </w:r>
    </w:p>
    <w:p w14:paraId="56B22BA3" w14:textId="77777777" w:rsidR="00481368" w:rsidRDefault="00481368" w:rsidP="003B7B62">
      <w:pPr>
        <w:rPr>
          <w:rFonts w:cstheme="minorHAnsi"/>
        </w:rPr>
      </w:pPr>
    </w:p>
    <w:p w14:paraId="332D9D15" w14:textId="77777777" w:rsidR="00481368" w:rsidRDefault="00481368" w:rsidP="003B7B62">
      <w:pPr>
        <w:rPr>
          <w:rFonts w:cstheme="minorHAnsi"/>
        </w:rPr>
      </w:pPr>
    </w:p>
    <w:p w14:paraId="4E81B544" w14:textId="77777777" w:rsidR="00481368" w:rsidRDefault="00481368" w:rsidP="003B7B62">
      <w:pPr>
        <w:rPr>
          <w:rFonts w:cstheme="minorHAnsi"/>
        </w:rPr>
      </w:pPr>
    </w:p>
    <w:p w14:paraId="7ABD11E3" w14:textId="76EE4961" w:rsidR="001115F2" w:rsidRPr="001115F2" w:rsidRDefault="001115F2" w:rsidP="003B7B62">
      <w:pPr>
        <w:rPr>
          <w:rFonts w:cstheme="minorHAnsi"/>
          <w:i/>
          <w:iCs/>
        </w:rPr>
      </w:pPr>
      <w:r>
        <w:rPr>
          <w:rFonts w:cstheme="minorHAnsi"/>
          <w:i/>
          <w:iCs/>
        </w:rPr>
        <w:t>Table 4.2.2 Oversupply thresholds for blood glucose test strips and rationale</w:t>
      </w:r>
    </w:p>
    <w:tbl>
      <w:tblPr>
        <w:tblStyle w:val="ListTable4-Accent1"/>
        <w:tblW w:w="9016" w:type="dxa"/>
        <w:tblLook w:val="04A0" w:firstRow="1" w:lastRow="0" w:firstColumn="1" w:lastColumn="0" w:noHBand="0" w:noVBand="1"/>
      </w:tblPr>
      <w:tblGrid>
        <w:gridCol w:w="2023"/>
        <w:gridCol w:w="1374"/>
        <w:gridCol w:w="5619"/>
      </w:tblGrid>
      <w:tr w:rsidR="001115F2" w:rsidRPr="001F3797" w14:paraId="10AF9F85" w14:textId="77777777" w:rsidTr="004338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Pr>
          <w:p w14:paraId="081E95B4" w14:textId="527E0B29" w:rsidR="001115F2" w:rsidRPr="001F3797" w:rsidRDefault="001115F2" w:rsidP="004338B3">
            <w:pPr>
              <w:rPr>
                <w:rFonts w:cstheme="minorHAnsi"/>
              </w:rPr>
            </w:pPr>
            <w:r>
              <w:rPr>
                <w:rFonts w:cstheme="minorHAnsi"/>
              </w:rPr>
              <w:t>Diabetes group</w:t>
            </w:r>
          </w:p>
        </w:tc>
        <w:tc>
          <w:tcPr>
            <w:tcW w:w="1374" w:type="dxa"/>
          </w:tcPr>
          <w:p w14:paraId="1861C4BA" w14:textId="77777777" w:rsidR="001115F2" w:rsidRDefault="001115F2" w:rsidP="004338B3">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Threshold</w:t>
            </w:r>
          </w:p>
        </w:tc>
        <w:tc>
          <w:tcPr>
            <w:tcW w:w="5619" w:type="dxa"/>
          </w:tcPr>
          <w:p w14:paraId="79C4DF18" w14:textId="1EA84A5D" w:rsidR="001115F2" w:rsidRPr="001F3797" w:rsidRDefault="001115F2" w:rsidP="004338B3">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Diabetes prescribing</w:t>
            </w:r>
          </w:p>
        </w:tc>
      </w:tr>
      <w:tr w:rsidR="001115F2" w:rsidRPr="001F3797" w14:paraId="698F4C9C" w14:textId="77777777" w:rsidTr="00433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Pr>
          <w:p w14:paraId="3C877846" w14:textId="61E4C8DE" w:rsidR="001115F2" w:rsidRPr="001F3797" w:rsidRDefault="001115F2" w:rsidP="004338B3">
            <w:pPr>
              <w:rPr>
                <w:rFonts w:cstheme="minorHAnsi"/>
              </w:rPr>
            </w:pPr>
            <w:r>
              <w:rPr>
                <w:rFonts w:cstheme="minorHAnsi"/>
              </w:rPr>
              <w:t>Group 1</w:t>
            </w:r>
          </w:p>
        </w:tc>
        <w:tc>
          <w:tcPr>
            <w:tcW w:w="1374" w:type="dxa"/>
          </w:tcPr>
          <w:p w14:paraId="341DEFCB" w14:textId="0FA08F4A" w:rsidR="001115F2" w:rsidRDefault="001115F2" w:rsidP="004338B3">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200</w:t>
            </w:r>
          </w:p>
        </w:tc>
        <w:tc>
          <w:tcPr>
            <w:tcW w:w="5619" w:type="dxa"/>
          </w:tcPr>
          <w:p w14:paraId="46A6015E" w14:textId="4F271D9D" w:rsidR="001115F2" w:rsidRPr="001F3797" w:rsidRDefault="001115F2" w:rsidP="004338B3">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No insulin, no diabetes prescribing, with or without metformin</w:t>
            </w:r>
          </w:p>
        </w:tc>
      </w:tr>
      <w:tr w:rsidR="001115F2" w:rsidRPr="001F3797" w14:paraId="7A86B8B1" w14:textId="77777777" w:rsidTr="004338B3">
        <w:tc>
          <w:tcPr>
            <w:cnfStyle w:val="001000000000" w:firstRow="0" w:lastRow="0" w:firstColumn="1" w:lastColumn="0" w:oddVBand="0" w:evenVBand="0" w:oddHBand="0" w:evenHBand="0" w:firstRowFirstColumn="0" w:firstRowLastColumn="0" w:lastRowFirstColumn="0" w:lastRowLastColumn="0"/>
            <w:tcW w:w="2023" w:type="dxa"/>
          </w:tcPr>
          <w:p w14:paraId="397AF83B" w14:textId="18225F74" w:rsidR="001115F2" w:rsidRPr="001F3797" w:rsidRDefault="001115F2" w:rsidP="004338B3">
            <w:pPr>
              <w:rPr>
                <w:rFonts w:cstheme="minorHAnsi"/>
              </w:rPr>
            </w:pPr>
            <w:r>
              <w:rPr>
                <w:rFonts w:cstheme="minorHAnsi"/>
              </w:rPr>
              <w:t>Group 2</w:t>
            </w:r>
          </w:p>
        </w:tc>
        <w:tc>
          <w:tcPr>
            <w:tcW w:w="1374" w:type="dxa"/>
          </w:tcPr>
          <w:p w14:paraId="3D91B711" w14:textId="0E9B9B52" w:rsidR="001115F2" w:rsidRDefault="001115F2" w:rsidP="004338B3">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450</w:t>
            </w:r>
          </w:p>
        </w:tc>
        <w:tc>
          <w:tcPr>
            <w:tcW w:w="5619" w:type="dxa"/>
          </w:tcPr>
          <w:p w14:paraId="2B47BF68" w14:textId="6FD64238" w:rsidR="001115F2" w:rsidRPr="001F3797" w:rsidRDefault="001115F2" w:rsidP="004338B3">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No insulin, diabetes prescribing excluding sulfonylureas, </w:t>
            </w:r>
            <w:proofErr w:type="spellStart"/>
            <w:r>
              <w:rPr>
                <w:rFonts w:cstheme="minorHAnsi"/>
              </w:rPr>
              <w:t>nateglinide</w:t>
            </w:r>
            <w:proofErr w:type="spellEnd"/>
            <w:r>
              <w:rPr>
                <w:rFonts w:cstheme="minorHAnsi"/>
              </w:rPr>
              <w:t xml:space="preserve"> and repaglinide</w:t>
            </w:r>
          </w:p>
        </w:tc>
      </w:tr>
      <w:tr w:rsidR="001115F2" w:rsidRPr="001F3797" w14:paraId="7D2125D5" w14:textId="77777777" w:rsidTr="00433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Pr>
          <w:p w14:paraId="1D685C2F" w14:textId="542B3E0C" w:rsidR="001115F2" w:rsidRPr="001F3797" w:rsidRDefault="001115F2" w:rsidP="004338B3">
            <w:pPr>
              <w:rPr>
                <w:rFonts w:cstheme="minorHAnsi"/>
              </w:rPr>
            </w:pPr>
            <w:r>
              <w:rPr>
                <w:rFonts w:cstheme="minorHAnsi"/>
              </w:rPr>
              <w:t>Group 3</w:t>
            </w:r>
          </w:p>
        </w:tc>
        <w:tc>
          <w:tcPr>
            <w:tcW w:w="1374" w:type="dxa"/>
          </w:tcPr>
          <w:p w14:paraId="47A5308B" w14:textId="1E605543" w:rsidR="001115F2" w:rsidRDefault="001115F2" w:rsidP="004338B3">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750</w:t>
            </w:r>
          </w:p>
        </w:tc>
        <w:tc>
          <w:tcPr>
            <w:tcW w:w="5619" w:type="dxa"/>
          </w:tcPr>
          <w:p w14:paraId="27442A8D" w14:textId="1424F064" w:rsidR="001115F2" w:rsidRPr="001F3797" w:rsidRDefault="001115F2" w:rsidP="004338B3">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No insulin, have received sulfonylureas, </w:t>
            </w:r>
            <w:proofErr w:type="spellStart"/>
            <w:r>
              <w:rPr>
                <w:rFonts w:cstheme="minorHAnsi"/>
              </w:rPr>
              <w:t>nateglinide</w:t>
            </w:r>
            <w:proofErr w:type="spellEnd"/>
            <w:r>
              <w:rPr>
                <w:rFonts w:cstheme="minorHAnsi"/>
              </w:rPr>
              <w:t xml:space="preserve"> and/or repaglinide</w:t>
            </w:r>
          </w:p>
        </w:tc>
      </w:tr>
      <w:tr w:rsidR="001115F2" w:rsidRPr="001F3797" w14:paraId="714D8194" w14:textId="77777777" w:rsidTr="004338B3">
        <w:tc>
          <w:tcPr>
            <w:cnfStyle w:val="001000000000" w:firstRow="0" w:lastRow="0" w:firstColumn="1" w:lastColumn="0" w:oddVBand="0" w:evenVBand="0" w:oddHBand="0" w:evenHBand="0" w:firstRowFirstColumn="0" w:firstRowLastColumn="0" w:lastRowFirstColumn="0" w:lastRowLastColumn="0"/>
            <w:tcW w:w="2023" w:type="dxa"/>
          </w:tcPr>
          <w:p w14:paraId="7BB54892" w14:textId="28C5ED1A" w:rsidR="001115F2" w:rsidRPr="001F3797" w:rsidRDefault="001115F2" w:rsidP="004338B3">
            <w:pPr>
              <w:rPr>
                <w:rFonts w:cstheme="minorHAnsi"/>
              </w:rPr>
            </w:pPr>
            <w:r>
              <w:rPr>
                <w:rFonts w:cstheme="minorHAnsi"/>
              </w:rPr>
              <w:t>Group 4</w:t>
            </w:r>
          </w:p>
        </w:tc>
        <w:tc>
          <w:tcPr>
            <w:tcW w:w="1374" w:type="dxa"/>
          </w:tcPr>
          <w:p w14:paraId="74AE1454" w14:textId="7D5A14CF" w:rsidR="001115F2" w:rsidRDefault="001115F2" w:rsidP="004338B3">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3,750</w:t>
            </w:r>
          </w:p>
        </w:tc>
        <w:tc>
          <w:tcPr>
            <w:tcW w:w="5619" w:type="dxa"/>
          </w:tcPr>
          <w:p w14:paraId="4B46AC51" w14:textId="2D55D7B4" w:rsidR="001115F2" w:rsidRPr="001F3797" w:rsidRDefault="001115F2" w:rsidP="004338B3">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Insulin, fewer than 12 blood glucose sensors</w:t>
            </w:r>
          </w:p>
        </w:tc>
      </w:tr>
      <w:tr w:rsidR="001115F2" w:rsidRPr="001F3797" w14:paraId="44E27710" w14:textId="77777777" w:rsidTr="00433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Pr>
          <w:p w14:paraId="45710905" w14:textId="5BCFE69D" w:rsidR="001115F2" w:rsidRPr="001F3797" w:rsidRDefault="001115F2" w:rsidP="004338B3">
            <w:pPr>
              <w:rPr>
                <w:rFonts w:cstheme="minorHAnsi"/>
              </w:rPr>
            </w:pPr>
            <w:r>
              <w:rPr>
                <w:rFonts w:cstheme="minorHAnsi"/>
              </w:rPr>
              <w:t>Group 5</w:t>
            </w:r>
          </w:p>
        </w:tc>
        <w:tc>
          <w:tcPr>
            <w:tcW w:w="1374" w:type="dxa"/>
          </w:tcPr>
          <w:p w14:paraId="1C73E135" w14:textId="365BDDD5" w:rsidR="001115F2" w:rsidRDefault="001115F2" w:rsidP="004338B3">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200</w:t>
            </w:r>
          </w:p>
        </w:tc>
        <w:tc>
          <w:tcPr>
            <w:tcW w:w="5619" w:type="dxa"/>
          </w:tcPr>
          <w:p w14:paraId="2493604F" w14:textId="4EB8B37D" w:rsidR="001115F2" w:rsidRPr="001F3797" w:rsidRDefault="001115F2" w:rsidP="004338B3">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Insulin, 12 or more blood glucose sensors</w:t>
            </w:r>
          </w:p>
        </w:tc>
      </w:tr>
    </w:tbl>
    <w:p w14:paraId="777EAE9E" w14:textId="77777777" w:rsidR="00693E03" w:rsidRDefault="00693E03" w:rsidP="00693E03">
      <w:pPr>
        <w:rPr>
          <w:rFonts w:cstheme="minorHAnsi"/>
        </w:rPr>
      </w:pPr>
    </w:p>
    <w:p w14:paraId="51FDE77F" w14:textId="716AE564" w:rsidR="00693E03" w:rsidRPr="001F3797" w:rsidRDefault="00693E03" w:rsidP="00693E03">
      <w:pPr>
        <w:pStyle w:val="Heading1"/>
        <w:numPr>
          <w:ilvl w:val="1"/>
          <w:numId w:val="48"/>
        </w:numPr>
      </w:pPr>
      <w:r>
        <w:t xml:space="preserve"> </w:t>
      </w:r>
      <w:bookmarkStart w:id="6" w:name="_Toc165029567"/>
      <w:r>
        <w:t>Prescription types</w:t>
      </w:r>
      <w:bookmarkEnd w:id="6"/>
    </w:p>
    <w:p w14:paraId="6758D983" w14:textId="132C2711" w:rsidR="004C3E9E" w:rsidRDefault="00693E03" w:rsidP="00693E03">
      <w:pPr>
        <w:rPr>
          <w:rFonts w:cstheme="minorHAnsi"/>
        </w:rPr>
      </w:pPr>
      <w:r>
        <w:rPr>
          <w:rFonts w:cstheme="minorHAnsi"/>
        </w:rPr>
        <w:t>For all in scope medicines, a breakdown of the proportion of prescribing type is included below for the period of March 2023 to February 2024. For paper prescriptions, we do not hold whether this was acute, repeat prescribing or repeat dispensing. ‘Repeat’ includes repeat dispensing and repeat prescribing on EPS where It has been applied to the EPS token. The figures below are for all patients, whether oversupplied or appropriately supplied</w:t>
      </w:r>
      <w:r w:rsidR="00403661">
        <w:rPr>
          <w:rFonts w:cstheme="minorHAnsi"/>
        </w:rPr>
        <w:t>.</w:t>
      </w:r>
    </w:p>
    <w:p w14:paraId="73CFAB35" w14:textId="55ED516A" w:rsidR="00403661" w:rsidRPr="00403661" w:rsidRDefault="00403661" w:rsidP="00693E03">
      <w:pPr>
        <w:rPr>
          <w:rFonts w:cstheme="minorHAnsi"/>
          <w:i/>
          <w:iCs/>
        </w:rPr>
      </w:pPr>
      <w:r>
        <w:rPr>
          <w:rFonts w:cstheme="minorHAnsi"/>
          <w:i/>
          <w:iCs/>
        </w:rPr>
        <w:t xml:space="preserve">Table 4.3.1: Prescription type split for in-scope presentations </w:t>
      </w:r>
      <w:r w:rsidR="009A7755">
        <w:rPr>
          <w:rFonts w:cstheme="minorHAnsi"/>
          <w:i/>
          <w:iCs/>
        </w:rPr>
        <w:t>August</w:t>
      </w:r>
      <w:r>
        <w:rPr>
          <w:rFonts w:cstheme="minorHAnsi"/>
          <w:i/>
          <w:iCs/>
        </w:rPr>
        <w:t xml:space="preserve"> 23 – </w:t>
      </w:r>
      <w:r w:rsidR="009A7755">
        <w:rPr>
          <w:rFonts w:cstheme="minorHAnsi"/>
          <w:i/>
          <w:iCs/>
        </w:rPr>
        <w:t>July</w:t>
      </w:r>
      <w:r>
        <w:rPr>
          <w:rFonts w:cstheme="minorHAnsi"/>
          <w:i/>
          <w:iCs/>
        </w:rPr>
        <w:t xml:space="preserve"> 24</w:t>
      </w:r>
    </w:p>
    <w:tbl>
      <w:tblPr>
        <w:tblStyle w:val="GridTable4-Accent1"/>
        <w:tblW w:w="6780" w:type="dxa"/>
        <w:tblLook w:val="04A0" w:firstRow="1" w:lastRow="0" w:firstColumn="1" w:lastColumn="0" w:noHBand="0" w:noVBand="1"/>
      </w:tblPr>
      <w:tblGrid>
        <w:gridCol w:w="3900"/>
        <w:gridCol w:w="960"/>
        <w:gridCol w:w="960"/>
        <w:gridCol w:w="960"/>
      </w:tblGrid>
      <w:tr w:rsidR="00693E03" w:rsidRPr="00693E03" w14:paraId="52638BC1" w14:textId="77777777" w:rsidTr="00693E0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39BC37A3" w14:textId="48A5D7A5" w:rsidR="00693E03" w:rsidRPr="00693E03" w:rsidRDefault="00403661" w:rsidP="00693E03">
            <w:pPr>
              <w:rPr>
                <w:rFonts w:cstheme="minorHAnsi"/>
              </w:rPr>
            </w:pPr>
            <w:r>
              <w:rPr>
                <w:rFonts w:cstheme="minorHAnsi"/>
              </w:rPr>
              <w:t>Drug type</w:t>
            </w:r>
          </w:p>
        </w:tc>
        <w:tc>
          <w:tcPr>
            <w:tcW w:w="960" w:type="dxa"/>
            <w:noWrap/>
            <w:hideMark/>
          </w:tcPr>
          <w:p w14:paraId="04AF443B" w14:textId="77777777" w:rsidR="00693E03" w:rsidRPr="00693E03" w:rsidRDefault="00693E03" w:rsidP="00693E03">
            <w:pPr>
              <w:cnfStyle w:val="100000000000" w:firstRow="1" w:lastRow="0" w:firstColumn="0" w:lastColumn="0" w:oddVBand="0" w:evenVBand="0" w:oddHBand="0" w:evenHBand="0" w:firstRowFirstColumn="0" w:firstRowLastColumn="0" w:lastRowFirstColumn="0" w:lastRowLastColumn="0"/>
              <w:rPr>
                <w:rFonts w:cstheme="minorHAnsi"/>
              </w:rPr>
            </w:pPr>
            <w:r w:rsidRPr="00693E03">
              <w:rPr>
                <w:rFonts w:cstheme="minorHAnsi"/>
              </w:rPr>
              <w:t>Paper</w:t>
            </w:r>
          </w:p>
        </w:tc>
        <w:tc>
          <w:tcPr>
            <w:tcW w:w="960" w:type="dxa"/>
            <w:noWrap/>
            <w:hideMark/>
          </w:tcPr>
          <w:p w14:paraId="52D94102" w14:textId="77777777" w:rsidR="00693E03" w:rsidRPr="00693E03" w:rsidRDefault="00693E03" w:rsidP="00693E03">
            <w:pPr>
              <w:cnfStyle w:val="100000000000" w:firstRow="1" w:lastRow="0" w:firstColumn="0" w:lastColumn="0" w:oddVBand="0" w:evenVBand="0" w:oddHBand="0" w:evenHBand="0" w:firstRowFirstColumn="0" w:firstRowLastColumn="0" w:lastRowFirstColumn="0" w:lastRowLastColumn="0"/>
              <w:rPr>
                <w:rFonts w:cstheme="minorHAnsi"/>
              </w:rPr>
            </w:pPr>
            <w:r w:rsidRPr="00693E03">
              <w:rPr>
                <w:rFonts w:cstheme="minorHAnsi"/>
              </w:rPr>
              <w:t>Acute</w:t>
            </w:r>
          </w:p>
        </w:tc>
        <w:tc>
          <w:tcPr>
            <w:tcW w:w="960" w:type="dxa"/>
            <w:noWrap/>
            <w:hideMark/>
          </w:tcPr>
          <w:p w14:paraId="739FBEB1" w14:textId="77777777" w:rsidR="00693E03" w:rsidRPr="00693E03" w:rsidRDefault="00693E03" w:rsidP="00693E03">
            <w:pPr>
              <w:cnfStyle w:val="100000000000" w:firstRow="1" w:lastRow="0" w:firstColumn="0" w:lastColumn="0" w:oddVBand="0" w:evenVBand="0" w:oddHBand="0" w:evenHBand="0" w:firstRowFirstColumn="0" w:firstRowLastColumn="0" w:lastRowFirstColumn="0" w:lastRowLastColumn="0"/>
              <w:rPr>
                <w:rFonts w:cstheme="minorHAnsi"/>
              </w:rPr>
            </w:pPr>
            <w:r w:rsidRPr="00693E03">
              <w:rPr>
                <w:rFonts w:cstheme="minorHAnsi"/>
              </w:rPr>
              <w:t>Repeat</w:t>
            </w:r>
          </w:p>
        </w:tc>
      </w:tr>
      <w:tr w:rsidR="009A7755" w:rsidRPr="00693E03" w14:paraId="3203FEBC" w14:textId="77777777" w:rsidTr="00472F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00" w:type="dxa"/>
            <w:noWrap/>
            <w:vAlign w:val="bottom"/>
            <w:hideMark/>
          </w:tcPr>
          <w:p w14:paraId="4FF543E7" w14:textId="0C355360" w:rsidR="009A7755" w:rsidRPr="009A7755" w:rsidRDefault="009A7755" w:rsidP="009A7755">
            <w:pPr>
              <w:rPr>
                <w:rFonts w:cstheme="minorHAnsi"/>
              </w:rPr>
            </w:pPr>
            <w:r w:rsidRPr="009A7755">
              <w:rPr>
                <w:rFonts w:cstheme="minorHAnsi"/>
                <w:color w:val="000000"/>
              </w:rPr>
              <w:t>Antiplatelets excluding aspirin</w:t>
            </w:r>
          </w:p>
        </w:tc>
        <w:tc>
          <w:tcPr>
            <w:tcW w:w="960" w:type="dxa"/>
            <w:noWrap/>
            <w:vAlign w:val="bottom"/>
            <w:hideMark/>
          </w:tcPr>
          <w:p w14:paraId="0F3AD820" w14:textId="587D4CD6" w:rsidR="009A7755" w:rsidRPr="009A7755" w:rsidRDefault="009A7755" w:rsidP="009A7755">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9A7755">
              <w:rPr>
                <w:rFonts w:cstheme="minorHAnsi"/>
                <w:color w:val="000000"/>
              </w:rPr>
              <w:t>7%</w:t>
            </w:r>
          </w:p>
        </w:tc>
        <w:tc>
          <w:tcPr>
            <w:tcW w:w="960" w:type="dxa"/>
            <w:noWrap/>
            <w:vAlign w:val="bottom"/>
            <w:hideMark/>
          </w:tcPr>
          <w:p w14:paraId="5F8209FB" w14:textId="53CABCB3" w:rsidR="009A7755" w:rsidRPr="009A7755" w:rsidRDefault="009A7755" w:rsidP="009A7755">
            <w:pPr>
              <w:jc w:val="right"/>
              <w:cnfStyle w:val="000000100000" w:firstRow="0" w:lastRow="0" w:firstColumn="0" w:lastColumn="0" w:oddVBand="0" w:evenVBand="0" w:oddHBand="1" w:evenHBand="0" w:firstRowFirstColumn="0" w:firstRowLastColumn="0" w:lastRowFirstColumn="0" w:lastRowLastColumn="0"/>
              <w:rPr>
                <w:rFonts w:cstheme="minorHAnsi"/>
                <w:bCs w:val="0"/>
              </w:rPr>
            </w:pPr>
            <w:r w:rsidRPr="009A7755">
              <w:rPr>
                <w:rFonts w:cstheme="minorHAnsi"/>
                <w:color w:val="000000"/>
              </w:rPr>
              <w:t>1%</w:t>
            </w:r>
          </w:p>
        </w:tc>
        <w:tc>
          <w:tcPr>
            <w:tcW w:w="960" w:type="dxa"/>
            <w:noWrap/>
            <w:vAlign w:val="bottom"/>
            <w:hideMark/>
          </w:tcPr>
          <w:p w14:paraId="1AC5D188" w14:textId="165B76DC" w:rsidR="009A7755" w:rsidRPr="009A7755" w:rsidRDefault="009A7755" w:rsidP="009A7755">
            <w:pPr>
              <w:jc w:val="right"/>
              <w:cnfStyle w:val="000000100000" w:firstRow="0" w:lastRow="0" w:firstColumn="0" w:lastColumn="0" w:oddVBand="0" w:evenVBand="0" w:oddHBand="1" w:evenHBand="0" w:firstRowFirstColumn="0" w:firstRowLastColumn="0" w:lastRowFirstColumn="0" w:lastRowLastColumn="0"/>
              <w:rPr>
                <w:rFonts w:cstheme="minorHAnsi"/>
                <w:bCs w:val="0"/>
              </w:rPr>
            </w:pPr>
            <w:r w:rsidRPr="009A7755">
              <w:rPr>
                <w:rFonts w:cstheme="minorHAnsi"/>
                <w:color w:val="000000"/>
              </w:rPr>
              <w:t>92%</w:t>
            </w:r>
          </w:p>
        </w:tc>
      </w:tr>
      <w:tr w:rsidR="009A7755" w:rsidRPr="00693E03" w14:paraId="6548B129" w14:textId="77777777" w:rsidTr="00472F1B">
        <w:trPr>
          <w:trHeight w:val="300"/>
        </w:trPr>
        <w:tc>
          <w:tcPr>
            <w:cnfStyle w:val="001000000000" w:firstRow="0" w:lastRow="0" w:firstColumn="1" w:lastColumn="0" w:oddVBand="0" w:evenVBand="0" w:oddHBand="0" w:evenHBand="0" w:firstRowFirstColumn="0" w:firstRowLastColumn="0" w:lastRowFirstColumn="0" w:lastRowLastColumn="0"/>
            <w:tcW w:w="3900" w:type="dxa"/>
            <w:noWrap/>
            <w:vAlign w:val="bottom"/>
            <w:hideMark/>
          </w:tcPr>
          <w:p w14:paraId="5E505234" w14:textId="6075DA8D" w:rsidR="009A7755" w:rsidRPr="009A7755" w:rsidRDefault="009A7755" w:rsidP="009A7755">
            <w:pPr>
              <w:rPr>
                <w:rFonts w:cstheme="minorHAnsi"/>
              </w:rPr>
            </w:pPr>
            <w:r w:rsidRPr="009A7755">
              <w:rPr>
                <w:rFonts w:cstheme="minorHAnsi"/>
                <w:color w:val="000000"/>
              </w:rPr>
              <w:t>Aspirin 75mg</w:t>
            </w:r>
          </w:p>
        </w:tc>
        <w:tc>
          <w:tcPr>
            <w:tcW w:w="960" w:type="dxa"/>
            <w:noWrap/>
            <w:vAlign w:val="bottom"/>
            <w:hideMark/>
          </w:tcPr>
          <w:p w14:paraId="4A6E81E9" w14:textId="6A1D22B3" w:rsidR="009A7755" w:rsidRPr="009A7755" w:rsidRDefault="009A7755" w:rsidP="009A7755">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9A7755">
              <w:rPr>
                <w:rFonts w:cstheme="minorHAnsi"/>
                <w:color w:val="000000"/>
              </w:rPr>
              <w:t>7%</w:t>
            </w:r>
          </w:p>
        </w:tc>
        <w:tc>
          <w:tcPr>
            <w:tcW w:w="960" w:type="dxa"/>
            <w:noWrap/>
            <w:vAlign w:val="bottom"/>
            <w:hideMark/>
          </w:tcPr>
          <w:p w14:paraId="0C7AAC80" w14:textId="129F84B2" w:rsidR="009A7755" w:rsidRPr="009A7755" w:rsidRDefault="009A7755" w:rsidP="009A7755">
            <w:pPr>
              <w:jc w:val="right"/>
              <w:cnfStyle w:val="000000000000" w:firstRow="0" w:lastRow="0" w:firstColumn="0" w:lastColumn="0" w:oddVBand="0" w:evenVBand="0" w:oddHBand="0" w:evenHBand="0" w:firstRowFirstColumn="0" w:firstRowLastColumn="0" w:lastRowFirstColumn="0" w:lastRowLastColumn="0"/>
              <w:rPr>
                <w:rFonts w:cstheme="minorHAnsi"/>
                <w:bCs w:val="0"/>
              </w:rPr>
            </w:pPr>
            <w:r w:rsidRPr="009A7755">
              <w:rPr>
                <w:rFonts w:cstheme="minorHAnsi"/>
                <w:color w:val="000000"/>
              </w:rPr>
              <w:t>2%</w:t>
            </w:r>
          </w:p>
        </w:tc>
        <w:tc>
          <w:tcPr>
            <w:tcW w:w="960" w:type="dxa"/>
            <w:noWrap/>
            <w:vAlign w:val="bottom"/>
            <w:hideMark/>
          </w:tcPr>
          <w:p w14:paraId="593870B5" w14:textId="3121B171" w:rsidR="009A7755" w:rsidRPr="009A7755" w:rsidRDefault="009A7755" w:rsidP="009A7755">
            <w:pPr>
              <w:jc w:val="right"/>
              <w:cnfStyle w:val="000000000000" w:firstRow="0" w:lastRow="0" w:firstColumn="0" w:lastColumn="0" w:oddVBand="0" w:evenVBand="0" w:oddHBand="0" w:evenHBand="0" w:firstRowFirstColumn="0" w:firstRowLastColumn="0" w:lastRowFirstColumn="0" w:lastRowLastColumn="0"/>
              <w:rPr>
                <w:rFonts w:cstheme="minorHAnsi"/>
                <w:bCs w:val="0"/>
              </w:rPr>
            </w:pPr>
            <w:r w:rsidRPr="009A7755">
              <w:rPr>
                <w:rFonts w:cstheme="minorHAnsi"/>
                <w:color w:val="000000"/>
              </w:rPr>
              <w:t>92%</w:t>
            </w:r>
          </w:p>
        </w:tc>
      </w:tr>
      <w:tr w:rsidR="009A7755" w:rsidRPr="00693E03" w14:paraId="6BD51346" w14:textId="77777777" w:rsidTr="00472F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00" w:type="dxa"/>
            <w:noWrap/>
            <w:vAlign w:val="bottom"/>
            <w:hideMark/>
          </w:tcPr>
          <w:p w14:paraId="30C150D4" w14:textId="5E878EE7" w:rsidR="009A7755" w:rsidRPr="009A7755" w:rsidRDefault="009A7755" w:rsidP="009A7755">
            <w:pPr>
              <w:rPr>
                <w:rFonts w:cstheme="minorHAnsi"/>
              </w:rPr>
            </w:pPr>
            <w:r w:rsidRPr="009A7755">
              <w:rPr>
                <w:rFonts w:cstheme="minorHAnsi"/>
                <w:color w:val="000000"/>
              </w:rPr>
              <w:t>Blood Glucose Sensors</w:t>
            </w:r>
          </w:p>
        </w:tc>
        <w:tc>
          <w:tcPr>
            <w:tcW w:w="960" w:type="dxa"/>
            <w:noWrap/>
            <w:vAlign w:val="bottom"/>
            <w:hideMark/>
          </w:tcPr>
          <w:p w14:paraId="0346B42E" w14:textId="45791B99" w:rsidR="009A7755" w:rsidRPr="009A7755" w:rsidRDefault="009A7755" w:rsidP="009A7755">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9A7755">
              <w:rPr>
                <w:rFonts w:cstheme="minorHAnsi"/>
                <w:color w:val="000000"/>
              </w:rPr>
              <w:t>0%</w:t>
            </w:r>
          </w:p>
        </w:tc>
        <w:tc>
          <w:tcPr>
            <w:tcW w:w="960" w:type="dxa"/>
            <w:noWrap/>
            <w:vAlign w:val="bottom"/>
            <w:hideMark/>
          </w:tcPr>
          <w:p w14:paraId="4A7AF00C" w14:textId="5EF0D2D2" w:rsidR="009A7755" w:rsidRPr="009A7755" w:rsidRDefault="009A7755" w:rsidP="009A7755">
            <w:pPr>
              <w:jc w:val="right"/>
              <w:cnfStyle w:val="000000100000" w:firstRow="0" w:lastRow="0" w:firstColumn="0" w:lastColumn="0" w:oddVBand="0" w:evenVBand="0" w:oddHBand="1" w:evenHBand="0" w:firstRowFirstColumn="0" w:firstRowLastColumn="0" w:lastRowFirstColumn="0" w:lastRowLastColumn="0"/>
              <w:rPr>
                <w:rFonts w:cstheme="minorHAnsi"/>
                <w:bCs w:val="0"/>
              </w:rPr>
            </w:pPr>
            <w:r w:rsidRPr="009A7755">
              <w:rPr>
                <w:rFonts w:cstheme="minorHAnsi"/>
                <w:color w:val="000000"/>
              </w:rPr>
              <w:t>4%</w:t>
            </w:r>
          </w:p>
        </w:tc>
        <w:tc>
          <w:tcPr>
            <w:tcW w:w="960" w:type="dxa"/>
            <w:noWrap/>
            <w:vAlign w:val="bottom"/>
            <w:hideMark/>
          </w:tcPr>
          <w:p w14:paraId="6957E40F" w14:textId="15844C7D" w:rsidR="009A7755" w:rsidRPr="009A7755" w:rsidRDefault="009A7755" w:rsidP="009A7755">
            <w:pPr>
              <w:jc w:val="right"/>
              <w:cnfStyle w:val="000000100000" w:firstRow="0" w:lastRow="0" w:firstColumn="0" w:lastColumn="0" w:oddVBand="0" w:evenVBand="0" w:oddHBand="1" w:evenHBand="0" w:firstRowFirstColumn="0" w:firstRowLastColumn="0" w:lastRowFirstColumn="0" w:lastRowLastColumn="0"/>
              <w:rPr>
                <w:rFonts w:cstheme="minorHAnsi"/>
                <w:bCs w:val="0"/>
              </w:rPr>
            </w:pPr>
            <w:r w:rsidRPr="009A7755">
              <w:rPr>
                <w:rFonts w:cstheme="minorHAnsi"/>
                <w:color w:val="000000"/>
              </w:rPr>
              <w:t>96%</w:t>
            </w:r>
          </w:p>
        </w:tc>
      </w:tr>
      <w:tr w:rsidR="009A7755" w:rsidRPr="00693E03" w14:paraId="07DCCC49" w14:textId="77777777" w:rsidTr="00472F1B">
        <w:trPr>
          <w:trHeight w:val="300"/>
        </w:trPr>
        <w:tc>
          <w:tcPr>
            <w:cnfStyle w:val="001000000000" w:firstRow="0" w:lastRow="0" w:firstColumn="1" w:lastColumn="0" w:oddVBand="0" w:evenVBand="0" w:oddHBand="0" w:evenHBand="0" w:firstRowFirstColumn="0" w:firstRowLastColumn="0" w:lastRowFirstColumn="0" w:lastRowLastColumn="0"/>
            <w:tcW w:w="3900" w:type="dxa"/>
            <w:noWrap/>
            <w:vAlign w:val="bottom"/>
            <w:hideMark/>
          </w:tcPr>
          <w:p w14:paraId="68515FFC" w14:textId="63964765" w:rsidR="009A7755" w:rsidRPr="009A7755" w:rsidRDefault="009A7755" w:rsidP="009A7755">
            <w:pPr>
              <w:rPr>
                <w:rFonts w:cstheme="minorHAnsi"/>
              </w:rPr>
            </w:pPr>
            <w:r w:rsidRPr="009A7755">
              <w:rPr>
                <w:rFonts w:cstheme="minorHAnsi"/>
                <w:color w:val="000000"/>
              </w:rPr>
              <w:t>Blood Glucose Testing Strips</w:t>
            </w:r>
          </w:p>
        </w:tc>
        <w:tc>
          <w:tcPr>
            <w:tcW w:w="960" w:type="dxa"/>
            <w:noWrap/>
            <w:vAlign w:val="bottom"/>
            <w:hideMark/>
          </w:tcPr>
          <w:p w14:paraId="14DC349F" w14:textId="3BEDD21C" w:rsidR="009A7755" w:rsidRPr="009A7755" w:rsidRDefault="009A7755" w:rsidP="009A7755">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9A7755">
              <w:rPr>
                <w:rFonts w:cstheme="minorHAnsi"/>
                <w:color w:val="000000"/>
              </w:rPr>
              <w:t>5%</w:t>
            </w:r>
          </w:p>
        </w:tc>
        <w:tc>
          <w:tcPr>
            <w:tcW w:w="960" w:type="dxa"/>
            <w:noWrap/>
            <w:vAlign w:val="bottom"/>
            <w:hideMark/>
          </w:tcPr>
          <w:p w14:paraId="5EDB64B8" w14:textId="44B6E632" w:rsidR="009A7755" w:rsidRPr="009A7755" w:rsidRDefault="009A7755" w:rsidP="009A7755">
            <w:pPr>
              <w:jc w:val="right"/>
              <w:cnfStyle w:val="000000000000" w:firstRow="0" w:lastRow="0" w:firstColumn="0" w:lastColumn="0" w:oddVBand="0" w:evenVBand="0" w:oddHBand="0" w:evenHBand="0" w:firstRowFirstColumn="0" w:firstRowLastColumn="0" w:lastRowFirstColumn="0" w:lastRowLastColumn="0"/>
              <w:rPr>
                <w:rFonts w:cstheme="minorHAnsi"/>
                <w:bCs w:val="0"/>
              </w:rPr>
            </w:pPr>
            <w:r w:rsidRPr="009A7755">
              <w:rPr>
                <w:rFonts w:cstheme="minorHAnsi"/>
                <w:color w:val="000000"/>
              </w:rPr>
              <w:t>8%</w:t>
            </w:r>
          </w:p>
        </w:tc>
        <w:tc>
          <w:tcPr>
            <w:tcW w:w="960" w:type="dxa"/>
            <w:noWrap/>
            <w:vAlign w:val="bottom"/>
            <w:hideMark/>
          </w:tcPr>
          <w:p w14:paraId="21B3C016" w14:textId="0E566A1B" w:rsidR="009A7755" w:rsidRPr="009A7755" w:rsidRDefault="009A7755" w:rsidP="009A7755">
            <w:pPr>
              <w:jc w:val="right"/>
              <w:cnfStyle w:val="000000000000" w:firstRow="0" w:lastRow="0" w:firstColumn="0" w:lastColumn="0" w:oddVBand="0" w:evenVBand="0" w:oddHBand="0" w:evenHBand="0" w:firstRowFirstColumn="0" w:firstRowLastColumn="0" w:lastRowFirstColumn="0" w:lastRowLastColumn="0"/>
              <w:rPr>
                <w:rFonts w:cstheme="minorHAnsi"/>
                <w:bCs w:val="0"/>
              </w:rPr>
            </w:pPr>
            <w:r w:rsidRPr="009A7755">
              <w:rPr>
                <w:rFonts w:cstheme="minorHAnsi"/>
                <w:color w:val="000000"/>
              </w:rPr>
              <w:t>87%</w:t>
            </w:r>
          </w:p>
        </w:tc>
      </w:tr>
      <w:tr w:rsidR="009A7755" w:rsidRPr="00693E03" w14:paraId="3934081A" w14:textId="77777777" w:rsidTr="00472F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00" w:type="dxa"/>
            <w:noWrap/>
            <w:vAlign w:val="bottom"/>
            <w:hideMark/>
          </w:tcPr>
          <w:p w14:paraId="3C95BA27" w14:textId="0F662D6C" w:rsidR="009A7755" w:rsidRPr="009A7755" w:rsidRDefault="009A7755" w:rsidP="009A7755">
            <w:pPr>
              <w:rPr>
                <w:rFonts w:cstheme="minorHAnsi"/>
              </w:rPr>
            </w:pPr>
            <w:r w:rsidRPr="009A7755">
              <w:rPr>
                <w:rFonts w:cstheme="minorHAnsi"/>
                <w:color w:val="000000"/>
              </w:rPr>
              <w:t>Inhalers</w:t>
            </w:r>
          </w:p>
        </w:tc>
        <w:tc>
          <w:tcPr>
            <w:tcW w:w="960" w:type="dxa"/>
            <w:noWrap/>
            <w:vAlign w:val="bottom"/>
            <w:hideMark/>
          </w:tcPr>
          <w:p w14:paraId="57133565" w14:textId="568513B8" w:rsidR="009A7755" w:rsidRPr="009A7755" w:rsidRDefault="009A7755" w:rsidP="009A7755">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9A7755">
              <w:rPr>
                <w:rFonts w:cstheme="minorHAnsi"/>
                <w:color w:val="000000"/>
              </w:rPr>
              <w:t>5%</w:t>
            </w:r>
          </w:p>
        </w:tc>
        <w:tc>
          <w:tcPr>
            <w:tcW w:w="960" w:type="dxa"/>
            <w:noWrap/>
            <w:vAlign w:val="bottom"/>
            <w:hideMark/>
          </w:tcPr>
          <w:p w14:paraId="16F44B9F" w14:textId="579441E1" w:rsidR="009A7755" w:rsidRPr="009A7755" w:rsidRDefault="009A7755" w:rsidP="009A7755">
            <w:pPr>
              <w:jc w:val="right"/>
              <w:cnfStyle w:val="000000100000" w:firstRow="0" w:lastRow="0" w:firstColumn="0" w:lastColumn="0" w:oddVBand="0" w:evenVBand="0" w:oddHBand="1" w:evenHBand="0" w:firstRowFirstColumn="0" w:firstRowLastColumn="0" w:lastRowFirstColumn="0" w:lastRowLastColumn="0"/>
              <w:rPr>
                <w:rFonts w:cstheme="minorHAnsi"/>
                <w:bCs w:val="0"/>
              </w:rPr>
            </w:pPr>
            <w:r w:rsidRPr="009A7755">
              <w:rPr>
                <w:rFonts w:cstheme="minorHAnsi"/>
                <w:color w:val="000000"/>
              </w:rPr>
              <w:t>3%</w:t>
            </w:r>
          </w:p>
        </w:tc>
        <w:tc>
          <w:tcPr>
            <w:tcW w:w="960" w:type="dxa"/>
            <w:noWrap/>
            <w:vAlign w:val="bottom"/>
            <w:hideMark/>
          </w:tcPr>
          <w:p w14:paraId="3505C3C4" w14:textId="19E3C1DB" w:rsidR="009A7755" w:rsidRPr="009A7755" w:rsidRDefault="009A7755" w:rsidP="009A7755">
            <w:pPr>
              <w:jc w:val="right"/>
              <w:cnfStyle w:val="000000100000" w:firstRow="0" w:lastRow="0" w:firstColumn="0" w:lastColumn="0" w:oddVBand="0" w:evenVBand="0" w:oddHBand="1" w:evenHBand="0" w:firstRowFirstColumn="0" w:firstRowLastColumn="0" w:lastRowFirstColumn="0" w:lastRowLastColumn="0"/>
              <w:rPr>
                <w:rFonts w:cstheme="minorHAnsi"/>
                <w:bCs w:val="0"/>
              </w:rPr>
            </w:pPr>
            <w:r w:rsidRPr="009A7755">
              <w:rPr>
                <w:rFonts w:cstheme="minorHAnsi"/>
                <w:color w:val="000000"/>
              </w:rPr>
              <w:t>92%</w:t>
            </w:r>
          </w:p>
        </w:tc>
      </w:tr>
      <w:tr w:rsidR="009A7755" w:rsidRPr="00693E03" w14:paraId="46792F1B" w14:textId="77777777" w:rsidTr="00472F1B">
        <w:trPr>
          <w:trHeight w:val="300"/>
        </w:trPr>
        <w:tc>
          <w:tcPr>
            <w:cnfStyle w:val="001000000000" w:firstRow="0" w:lastRow="0" w:firstColumn="1" w:lastColumn="0" w:oddVBand="0" w:evenVBand="0" w:oddHBand="0" w:evenHBand="0" w:firstRowFirstColumn="0" w:firstRowLastColumn="0" w:lastRowFirstColumn="0" w:lastRowLastColumn="0"/>
            <w:tcW w:w="3900" w:type="dxa"/>
            <w:noWrap/>
            <w:vAlign w:val="bottom"/>
            <w:hideMark/>
          </w:tcPr>
          <w:p w14:paraId="1C279561" w14:textId="366570C4" w:rsidR="009A7755" w:rsidRPr="009A7755" w:rsidRDefault="009A7755" w:rsidP="009A7755">
            <w:pPr>
              <w:rPr>
                <w:rFonts w:cstheme="minorHAnsi"/>
              </w:rPr>
            </w:pPr>
            <w:r w:rsidRPr="009A7755">
              <w:rPr>
                <w:rFonts w:cstheme="minorHAnsi"/>
                <w:color w:val="000000"/>
              </w:rPr>
              <w:t>Laxatives</w:t>
            </w:r>
          </w:p>
        </w:tc>
        <w:tc>
          <w:tcPr>
            <w:tcW w:w="960" w:type="dxa"/>
            <w:noWrap/>
            <w:vAlign w:val="bottom"/>
            <w:hideMark/>
          </w:tcPr>
          <w:p w14:paraId="359A6C1A" w14:textId="68834D68" w:rsidR="009A7755" w:rsidRPr="009A7755" w:rsidRDefault="009A7755" w:rsidP="009A7755">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9A7755">
              <w:rPr>
                <w:rFonts w:cstheme="minorHAnsi"/>
                <w:color w:val="000000"/>
              </w:rPr>
              <w:t>5%</w:t>
            </w:r>
          </w:p>
        </w:tc>
        <w:tc>
          <w:tcPr>
            <w:tcW w:w="960" w:type="dxa"/>
            <w:noWrap/>
            <w:vAlign w:val="bottom"/>
            <w:hideMark/>
          </w:tcPr>
          <w:p w14:paraId="0031EE53" w14:textId="20AF58BE" w:rsidR="009A7755" w:rsidRPr="009A7755" w:rsidRDefault="009A7755" w:rsidP="009A7755">
            <w:pPr>
              <w:jc w:val="right"/>
              <w:cnfStyle w:val="000000000000" w:firstRow="0" w:lastRow="0" w:firstColumn="0" w:lastColumn="0" w:oddVBand="0" w:evenVBand="0" w:oddHBand="0" w:evenHBand="0" w:firstRowFirstColumn="0" w:firstRowLastColumn="0" w:lastRowFirstColumn="0" w:lastRowLastColumn="0"/>
              <w:rPr>
                <w:rFonts w:cstheme="minorHAnsi"/>
                <w:bCs w:val="0"/>
              </w:rPr>
            </w:pPr>
            <w:r w:rsidRPr="009A7755">
              <w:rPr>
                <w:rFonts w:cstheme="minorHAnsi"/>
                <w:color w:val="000000"/>
              </w:rPr>
              <w:t>15%</w:t>
            </w:r>
          </w:p>
        </w:tc>
        <w:tc>
          <w:tcPr>
            <w:tcW w:w="960" w:type="dxa"/>
            <w:noWrap/>
            <w:vAlign w:val="bottom"/>
            <w:hideMark/>
          </w:tcPr>
          <w:p w14:paraId="1690A791" w14:textId="5FDB9F26" w:rsidR="009A7755" w:rsidRPr="009A7755" w:rsidRDefault="009A7755" w:rsidP="009A7755">
            <w:pPr>
              <w:jc w:val="right"/>
              <w:cnfStyle w:val="000000000000" w:firstRow="0" w:lastRow="0" w:firstColumn="0" w:lastColumn="0" w:oddVBand="0" w:evenVBand="0" w:oddHBand="0" w:evenHBand="0" w:firstRowFirstColumn="0" w:firstRowLastColumn="0" w:lastRowFirstColumn="0" w:lastRowLastColumn="0"/>
              <w:rPr>
                <w:rFonts w:cstheme="minorHAnsi"/>
                <w:bCs w:val="0"/>
              </w:rPr>
            </w:pPr>
            <w:r w:rsidRPr="009A7755">
              <w:rPr>
                <w:rFonts w:cstheme="minorHAnsi"/>
                <w:color w:val="000000"/>
              </w:rPr>
              <w:t>80%</w:t>
            </w:r>
          </w:p>
        </w:tc>
      </w:tr>
      <w:tr w:rsidR="009A7755" w:rsidRPr="00693E03" w14:paraId="2759F761" w14:textId="77777777" w:rsidTr="00472F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00" w:type="dxa"/>
            <w:noWrap/>
            <w:vAlign w:val="bottom"/>
          </w:tcPr>
          <w:p w14:paraId="381A590A" w14:textId="3A067C3D" w:rsidR="009A7755" w:rsidRPr="009A7755" w:rsidRDefault="009A7755" w:rsidP="009A7755">
            <w:pPr>
              <w:rPr>
                <w:rFonts w:cstheme="minorHAnsi"/>
              </w:rPr>
            </w:pPr>
            <w:r w:rsidRPr="009A7755">
              <w:rPr>
                <w:rFonts w:cstheme="minorHAnsi"/>
                <w:color w:val="000000"/>
              </w:rPr>
              <w:t>Oral Anticoagulants</w:t>
            </w:r>
          </w:p>
        </w:tc>
        <w:tc>
          <w:tcPr>
            <w:tcW w:w="960" w:type="dxa"/>
            <w:noWrap/>
            <w:vAlign w:val="bottom"/>
          </w:tcPr>
          <w:p w14:paraId="65D69512" w14:textId="10FFE395" w:rsidR="009A7755" w:rsidRPr="009A7755" w:rsidRDefault="009A7755" w:rsidP="009A7755">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9A7755">
              <w:rPr>
                <w:rFonts w:cstheme="minorHAnsi"/>
                <w:color w:val="000000"/>
              </w:rPr>
              <w:t>8%</w:t>
            </w:r>
          </w:p>
        </w:tc>
        <w:tc>
          <w:tcPr>
            <w:tcW w:w="960" w:type="dxa"/>
            <w:noWrap/>
            <w:vAlign w:val="bottom"/>
          </w:tcPr>
          <w:p w14:paraId="7421B578" w14:textId="4B8FE4A9" w:rsidR="009A7755" w:rsidRPr="009A7755" w:rsidRDefault="009A7755" w:rsidP="009A7755">
            <w:pPr>
              <w:jc w:val="right"/>
              <w:cnfStyle w:val="000000100000" w:firstRow="0" w:lastRow="0" w:firstColumn="0" w:lastColumn="0" w:oddVBand="0" w:evenVBand="0" w:oddHBand="1" w:evenHBand="0" w:firstRowFirstColumn="0" w:firstRowLastColumn="0" w:lastRowFirstColumn="0" w:lastRowLastColumn="0"/>
              <w:rPr>
                <w:rFonts w:cstheme="minorHAnsi"/>
                <w:bCs w:val="0"/>
              </w:rPr>
            </w:pPr>
            <w:r w:rsidRPr="009A7755">
              <w:rPr>
                <w:rFonts w:cstheme="minorHAnsi"/>
                <w:color w:val="000000"/>
              </w:rPr>
              <w:t>2%</w:t>
            </w:r>
          </w:p>
        </w:tc>
        <w:tc>
          <w:tcPr>
            <w:tcW w:w="960" w:type="dxa"/>
            <w:noWrap/>
            <w:vAlign w:val="bottom"/>
          </w:tcPr>
          <w:p w14:paraId="4C3BA5F1" w14:textId="4D801183" w:rsidR="009A7755" w:rsidRPr="009A7755" w:rsidRDefault="009A7755" w:rsidP="009A7755">
            <w:pPr>
              <w:jc w:val="right"/>
              <w:cnfStyle w:val="000000100000" w:firstRow="0" w:lastRow="0" w:firstColumn="0" w:lastColumn="0" w:oddVBand="0" w:evenVBand="0" w:oddHBand="1" w:evenHBand="0" w:firstRowFirstColumn="0" w:firstRowLastColumn="0" w:lastRowFirstColumn="0" w:lastRowLastColumn="0"/>
              <w:rPr>
                <w:rFonts w:cstheme="minorHAnsi"/>
                <w:bCs w:val="0"/>
              </w:rPr>
            </w:pPr>
            <w:r w:rsidRPr="009A7755">
              <w:rPr>
                <w:rFonts w:cstheme="minorHAnsi"/>
                <w:color w:val="000000"/>
              </w:rPr>
              <w:t>91%</w:t>
            </w:r>
          </w:p>
        </w:tc>
      </w:tr>
      <w:tr w:rsidR="009A7755" w:rsidRPr="00693E03" w14:paraId="3E49DAC1" w14:textId="77777777" w:rsidTr="00472F1B">
        <w:trPr>
          <w:trHeight w:val="300"/>
        </w:trPr>
        <w:tc>
          <w:tcPr>
            <w:cnfStyle w:val="001000000000" w:firstRow="0" w:lastRow="0" w:firstColumn="1" w:lastColumn="0" w:oddVBand="0" w:evenVBand="0" w:oddHBand="0" w:evenHBand="0" w:firstRowFirstColumn="0" w:firstRowLastColumn="0" w:lastRowFirstColumn="0" w:lastRowLastColumn="0"/>
            <w:tcW w:w="3900" w:type="dxa"/>
            <w:noWrap/>
            <w:vAlign w:val="bottom"/>
            <w:hideMark/>
          </w:tcPr>
          <w:p w14:paraId="32110751" w14:textId="5E4BE9DD" w:rsidR="009A7755" w:rsidRPr="009A7755" w:rsidRDefault="009A7755" w:rsidP="009A7755">
            <w:pPr>
              <w:rPr>
                <w:rFonts w:cstheme="minorHAnsi"/>
              </w:rPr>
            </w:pPr>
            <w:r w:rsidRPr="009A7755">
              <w:rPr>
                <w:rFonts w:cstheme="minorHAnsi"/>
                <w:color w:val="000000"/>
              </w:rPr>
              <w:t>Oral Nutritional Supplements</w:t>
            </w:r>
          </w:p>
        </w:tc>
        <w:tc>
          <w:tcPr>
            <w:tcW w:w="960" w:type="dxa"/>
            <w:noWrap/>
            <w:vAlign w:val="bottom"/>
            <w:hideMark/>
          </w:tcPr>
          <w:p w14:paraId="525278AE" w14:textId="3A6CF833" w:rsidR="009A7755" w:rsidRPr="009A7755" w:rsidRDefault="009A7755" w:rsidP="009A7755">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9A7755">
              <w:rPr>
                <w:rFonts w:cstheme="minorHAnsi"/>
                <w:color w:val="000000"/>
              </w:rPr>
              <w:t>4%</w:t>
            </w:r>
          </w:p>
        </w:tc>
        <w:tc>
          <w:tcPr>
            <w:tcW w:w="960" w:type="dxa"/>
            <w:noWrap/>
            <w:vAlign w:val="bottom"/>
            <w:hideMark/>
          </w:tcPr>
          <w:p w14:paraId="40EC8546" w14:textId="58827353" w:rsidR="009A7755" w:rsidRPr="009A7755" w:rsidRDefault="009A7755" w:rsidP="009A7755">
            <w:pPr>
              <w:jc w:val="right"/>
              <w:cnfStyle w:val="000000000000" w:firstRow="0" w:lastRow="0" w:firstColumn="0" w:lastColumn="0" w:oddVBand="0" w:evenVBand="0" w:oddHBand="0" w:evenHBand="0" w:firstRowFirstColumn="0" w:firstRowLastColumn="0" w:lastRowFirstColumn="0" w:lastRowLastColumn="0"/>
              <w:rPr>
                <w:rFonts w:cstheme="minorHAnsi"/>
                <w:bCs w:val="0"/>
              </w:rPr>
            </w:pPr>
            <w:r w:rsidRPr="009A7755">
              <w:rPr>
                <w:rFonts w:cstheme="minorHAnsi"/>
                <w:color w:val="000000"/>
              </w:rPr>
              <w:t>31%</w:t>
            </w:r>
          </w:p>
        </w:tc>
        <w:tc>
          <w:tcPr>
            <w:tcW w:w="960" w:type="dxa"/>
            <w:noWrap/>
            <w:vAlign w:val="bottom"/>
            <w:hideMark/>
          </w:tcPr>
          <w:p w14:paraId="4CC1B502" w14:textId="522673E5" w:rsidR="009A7755" w:rsidRPr="009A7755" w:rsidRDefault="009A7755" w:rsidP="009A7755">
            <w:pPr>
              <w:jc w:val="right"/>
              <w:cnfStyle w:val="000000000000" w:firstRow="0" w:lastRow="0" w:firstColumn="0" w:lastColumn="0" w:oddVBand="0" w:evenVBand="0" w:oddHBand="0" w:evenHBand="0" w:firstRowFirstColumn="0" w:firstRowLastColumn="0" w:lastRowFirstColumn="0" w:lastRowLastColumn="0"/>
              <w:rPr>
                <w:rFonts w:cstheme="minorHAnsi"/>
                <w:bCs w:val="0"/>
              </w:rPr>
            </w:pPr>
            <w:r w:rsidRPr="009A7755">
              <w:rPr>
                <w:rFonts w:cstheme="minorHAnsi"/>
                <w:color w:val="000000"/>
              </w:rPr>
              <w:t>65%</w:t>
            </w:r>
          </w:p>
        </w:tc>
      </w:tr>
      <w:tr w:rsidR="009A7755" w:rsidRPr="00693E03" w14:paraId="2715213E" w14:textId="77777777" w:rsidTr="00472F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00" w:type="dxa"/>
            <w:noWrap/>
            <w:vAlign w:val="bottom"/>
            <w:hideMark/>
          </w:tcPr>
          <w:p w14:paraId="3259ED77" w14:textId="2D5EDAEC" w:rsidR="009A7755" w:rsidRPr="009A7755" w:rsidRDefault="009A7755" w:rsidP="009A7755">
            <w:pPr>
              <w:rPr>
                <w:rFonts w:cstheme="minorHAnsi"/>
              </w:rPr>
            </w:pPr>
            <w:r w:rsidRPr="009A7755">
              <w:rPr>
                <w:rFonts w:cstheme="minorHAnsi"/>
                <w:color w:val="000000"/>
              </w:rPr>
              <w:t>Paediatric Oral Nutritional Supplements</w:t>
            </w:r>
          </w:p>
        </w:tc>
        <w:tc>
          <w:tcPr>
            <w:tcW w:w="960" w:type="dxa"/>
            <w:noWrap/>
            <w:vAlign w:val="bottom"/>
            <w:hideMark/>
          </w:tcPr>
          <w:p w14:paraId="3EF7AF6B" w14:textId="6E47D493" w:rsidR="009A7755" w:rsidRPr="009A7755" w:rsidRDefault="009A7755" w:rsidP="009A7755">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9A7755">
              <w:rPr>
                <w:rFonts w:cstheme="minorHAnsi"/>
                <w:color w:val="000000"/>
              </w:rPr>
              <w:t>3%</w:t>
            </w:r>
          </w:p>
        </w:tc>
        <w:tc>
          <w:tcPr>
            <w:tcW w:w="960" w:type="dxa"/>
            <w:noWrap/>
            <w:vAlign w:val="bottom"/>
            <w:hideMark/>
          </w:tcPr>
          <w:p w14:paraId="3F1176C2" w14:textId="71F9A043" w:rsidR="009A7755" w:rsidRPr="009A7755" w:rsidRDefault="009A7755" w:rsidP="009A7755">
            <w:pPr>
              <w:jc w:val="right"/>
              <w:cnfStyle w:val="000000100000" w:firstRow="0" w:lastRow="0" w:firstColumn="0" w:lastColumn="0" w:oddVBand="0" w:evenVBand="0" w:oddHBand="1" w:evenHBand="0" w:firstRowFirstColumn="0" w:firstRowLastColumn="0" w:lastRowFirstColumn="0" w:lastRowLastColumn="0"/>
              <w:rPr>
                <w:rFonts w:cstheme="minorHAnsi"/>
                <w:bCs w:val="0"/>
              </w:rPr>
            </w:pPr>
            <w:r w:rsidRPr="009A7755">
              <w:rPr>
                <w:rFonts w:cstheme="minorHAnsi"/>
                <w:color w:val="000000"/>
              </w:rPr>
              <w:t>18%</w:t>
            </w:r>
          </w:p>
        </w:tc>
        <w:tc>
          <w:tcPr>
            <w:tcW w:w="960" w:type="dxa"/>
            <w:noWrap/>
            <w:vAlign w:val="bottom"/>
            <w:hideMark/>
          </w:tcPr>
          <w:p w14:paraId="1C05D6FB" w14:textId="04E1966B" w:rsidR="009A7755" w:rsidRPr="009A7755" w:rsidRDefault="009A7755" w:rsidP="009A7755">
            <w:pPr>
              <w:jc w:val="right"/>
              <w:cnfStyle w:val="000000100000" w:firstRow="0" w:lastRow="0" w:firstColumn="0" w:lastColumn="0" w:oddVBand="0" w:evenVBand="0" w:oddHBand="1" w:evenHBand="0" w:firstRowFirstColumn="0" w:firstRowLastColumn="0" w:lastRowFirstColumn="0" w:lastRowLastColumn="0"/>
              <w:rPr>
                <w:rFonts w:cstheme="minorHAnsi"/>
                <w:bCs w:val="0"/>
              </w:rPr>
            </w:pPr>
            <w:r w:rsidRPr="009A7755">
              <w:rPr>
                <w:rFonts w:cstheme="minorHAnsi"/>
                <w:color w:val="000000"/>
              </w:rPr>
              <w:t>79%</w:t>
            </w:r>
          </w:p>
        </w:tc>
      </w:tr>
      <w:tr w:rsidR="009A7755" w:rsidRPr="00693E03" w14:paraId="73D3DE26" w14:textId="77777777" w:rsidTr="00472F1B">
        <w:trPr>
          <w:trHeight w:val="300"/>
        </w:trPr>
        <w:tc>
          <w:tcPr>
            <w:cnfStyle w:val="001000000000" w:firstRow="0" w:lastRow="0" w:firstColumn="1" w:lastColumn="0" w:oddVBand="0" w:evenVBand="0" w:oddHBand="0" w:evenHBand="0" w:firstRowFirstColumn="0" w:firstRowLastColumn="0" w:lastRowFirstColumn="0" w:lastRowLastColumn="0"/>
            <w:tcW w:w="3900" w:type="dxa"/>
            <w:noWrap/>
            <w:vAlign w:val="bottom"/>
            <w:hideMark/>
          </w:tcPr>
          <w:p w14:paraId="70A91AFE" w14:textId="03A85600" w:rsidR="009A7755" w:rsidRPr="009A7755" w:rsidRDefault="009A7755" w:rsidP="009A7755">
            <w:pPr>
              <w:rPr>
                <w:rFonts w:cstheme="minorHAnsi"/>
              </w:rPr>
            </w:pPr>
            <w:r w:rsidRPr="009A7755">
              <w:rPr>
                <w:rFonts w:cstheme="minorHAnsi"/>
                <w:color w:val="000000"/>
              </w:rPr>
              <w:t>Statins</w:t>
            </w:r>
          </w:p>
        </w:tc>
        <w:tc>
          <w:tcPr>
            <w:tcW w:w="960" w:type="dxa"/>
            <w:noWrap/>
            <w:vAlign w:val="bottom"/>
            <w:hideMark/>
          </w:tcPr>
          <w:p w14:paraId="227D6974" w14:textId="20009DA0" w:rsidR="009A7755" w:rsidRPr="009A7755" w:rsidRDefault="009A7755" w:rsidP="009A7755">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9A7755">
              <w:rPr>
                <w:rFonts w:cstheme="minorHAnsi"/>
                <w:color w:val="000000"/>
              </w:rPr>
              <w:t>7%</w:t>
            </w:r>
          </w:p>
        </w:tc>
        <w:tc>
          <w:tcPr>
            <w:tcW w:w="960" w:type="dxa"/>
            <w:noWrap/>
            <w:vAlign w:val="bottom"/>
            <w:hideMark/>
          </w:tcPr>
          <w:p w14:paraId="40433F43" w14:textId="25124F5F" w:rsidR="009A7755" w:rsidRPr="009A7755" w:rsidRDefault="009A7755" w:rsidP="009A7755">
            <w:pPr>
              <w:jc w:val="right"/>
              <w:cnfStyle w:val="000000000000" w:firstRow="0" w:lastRow="0" w:firstColumn="0" w:lastColumn="0" w:oddVBand="0" w:evenVBand="0" w:oddHBand="0" w:evenHBand="0" w:firstRowFirstColumn="0" w:firstRowLastColumn="0" w:lastRowFirstColumn="0" w:lastRowLastColumn="0"/>
              <w:rPr>
                <w:rFonts w:cstheme="minorHAnsi"/>
                <w:bCs w:val="0"/>
              </w:rPr>
            </w:pPr>
            <w:r w:rsidRPr="009A7755">
              <w:rPr>
                <w:rFonts w:cstheme="minorHAnsi"/>
                <w:color w:val="000000"/>
              </w:rPr>
              <w:t>2%</w:t>
            </w:r>
          </w:p>
        </w:tc>
        <w:tc>
          <w:tcPr>
            <w:tcW w:w="960" w:type="dxa"/>
            <w:noWrap/>
            <w:vAlign w:val="bottom"/>
            <w:hideMark/>
          </w:tcPr>
          <w:p w14:paraId="6EDEC90D" w14:textId="078CAE88" w:rsidR="009A7755" w:rsidRPr="009A7755" w:rsidRDefault="009A7755" w:rsidP="009A7755">
            <w:pPr>
              <w:jc w:val="right"/>
              <w:cnfStyle w:val="000000000000" w:firstRow="0" w:lastRow="0" w:firstColumn="0" w:lastColumn="0" w:oddVBand="0" w:evenVBand="0" w:oddHBand="0" w:evenHBand="0" w:firstRowFirstColumn="0" w:firstRowLastColumn="0" w:lastRowFirstColumn="0" w:lastRowLastColumn="0"/>
              <w:rPr>
                <w:rFonts w:cstheme="minorHAnsi"/>
                <w:bCs w:val="0"/>
              </w:rPr>
            </w:pPr>
            <w:r w:rsidRPr="009A7755">
              <w:rPr>
                <w:rFonts w:cstheme="minorHAnsi"/>
                <w:color w:val="000000"/>
              </w:rPr>
              <w:t>92%</w:t>
            </w:r>
          </w:p>
        </w:tc>
      </w:tr>
    </w:tbl>
    <w:p w14:paraId="3852296F" w14:textId="77777777" w:rsidR="00693E03" w:rsidRDefault="00693E03" w:rsidP="00693E03">
      <w:pPr>
        <w:rPr>
          <w:rFonts w:cstheme="minorHAnsi"/>
        </w:rPr>
      </w:pPr>
    </w:p>
    <w:p w14:paraId="7C7BCB80" w14:textId="499B16E8" w:rsidR="005B58B0" w:rsidRPr="004D2A10" w:rsidRDefault="005B58B0" w:rsidP="004D2A10">
      <w:pPr>
        <w:pStyle w:val="Heading1"/>
        <w:numPr>
          <w:ilvl w:val="0"/>
          <w:numId w:val="11"/>
        </w:numPr>
        <w:rPr>
          <w:rFonts w:asciiTheme="minorHAnsi" w:hAnsiTheme="minorHAnsi" w:cstheme="minorHAnsi"/>
        </w:rPr>
      </w:pPr>
      <w:bookmarkStart w:id="7" w:name="_Toc165029568"/>
      <w:r w:rsidRPr="004D2A10">
        <w:rPr>
          <w:rFonts w:asciiTheme="minorHAnsi" w:hAnsiTheme="minorHAnsi" w:cstheme="minorHAnsi"/>
        </w:rPr>
        <w:t>Prescribing data</w:t>
      </w:r>
      <w:bookmarkEnd w:id="7"/>
    </w:p>
    <w:p w14:paraId="71D8700C" w14:textId="299FAC3F" w:rsidR="00B81CA3" w:rsidRPr="001F3797" w:rsidRDefault="00B81CA3" w:rsidP="0035674C">
      <w:pPr>
        <w:rPr>
          <w:rFonts w:cstheme="minorHAnsi"/>
        </w:rPr>
      </w:pPr>
      <w:r w:rsidRPr="001F3797">
        <w:rPr>
          <w:rFonts w:cstheme="minorHAnsi"/>
        </w:rPr>
        <w:t>All data is based on</w:t>
      </w:r>
      <w:r w:rsidR="005B58B0" w:rsidRPr="001F3797">
        <w:rPr>
          <w:rFonts w:cstheme="minorHAnsi"/>
        </w:rPr>
        <w:t xml:space="preserve"> prescriptions from</w:t>
      </w:r>
      <w:r w:rsidRPr="001F3797">
        <w:rPr>
          <w:rFonts w:cstheme="minorHAnsi"/>
        </w:rPr>
        <w:t xml:space="preserve"> English prescribing organisations </w:t>
      </w:r>
      <w:r w:rsidR="005B58B0" w:rsidRPr="001F3797">
        <w:rPr>
          <w:rFonts w:cstheme="minorHAnsi"/>
        </w:rPr>
        <w:t>that were submitted to the NHSBSA for processing.</w:t>
      </w:r>
    </w:p>
    <w:p w14:paraId="2F0DC3DA" w14:textId="3FAEFCBD" w:rsidR="00B81CA3" w:rsidRPr="00A45C76" w:rsidRDefault="00B81CA3" w:rsidP="0035674C">
      <w:pPr>
        <w:rPr>
          <w:rFonts w:cstheme="minorHAnsi"/>
          <w:b/>
        </w:rPr>
      </w:pPr>
      <w:r w:rsidRPr="001F3797">
        <w:rPr>
          <w:rFonts w:cstheme="minorHAnsi"/>
        </w:rPr>
        <w:t xml:space="preserve">English prescribing that has been dispensed in Wales, Scotland, Guernsey / Alderney, Jersey and </w:t>
      </w:r>
      <w:r w:rsidRPr="00A45C76">
        <w:rPr>
          <w:rFonts w:cstheme="minorHAnsi"/>
        </w:rPr>
        <w:t xml:space="preserve">Isle of Man is also included – however these items may </w:t>
      </w:r>
      <w:r w:rsidR="005B58B0" w:rsidRPr="00A45C76">
        <w:rPr>
          <w:rFonts w:cstheme="minorHAnsi"/>
        </w:rPr>
        <w:t xml:space="preserve">be </w:t>
      </w:r>
      <w:r w:rsidRPr="00A45C76">
        <w:rPr>
          <w:rFonts w:cstheme="minorHAnsi"/>
        </w:rPr>
        <w:t xml:space="preserve">effectively excluded </w:t>
      </w:r>
      <w:r w:rsidR="005B58B0" w:rsidRPr="00A45C76">
        <w:rPr>
          <w:rFonts w:cstheme="minorHAnsi"/>
        </w:rPr>
        <w:t>from the comparators that include only prescriptions items for which a patient could be identified</w:t>
      </w:r>
      <w:r w:rsidRPr="00A45C76">
        <w:rPr>
          <w:rFonts w:cstheme="minorHAnsi"/>
        </w:rPr>
        <w:t>.</w:t>
      </w:r>
    </w:p>
    <w:p w14:paraId="5CBA6A2F" w14:textId="33778F7B" w:rsidR="00B81CA3" w:rsidRPr="00A45C76" w:rsidRDefault="00B81CA3" w:rsidP="004E0147">
      <w:pPr>
        <w:rPr>
          <w:rFonts w:cstheme="minorHAnsi"/>
        </w:rPr>
      </w:pPr>
      <w:r w:rsidRPr="00A45C76">
        <w:rPr>
          <w:rFonts w:cstheme="minorHAnsi"/>
        </w:rPr>
        <w:t>All data excludes:</w:t>
      </w:r>
    </w:p>
    <w:p w14:paraId="2AE64496" w14:textId="77777777" w:rsidR="00B81CA3" w:rsidRPr="001F3797" w:rsidRDefault="00B81CA3" w:rsidP="0016551E">
      <w:pPr>
        <w:pStyle w:val="ListParagraph"/>
        <w:numPr>
          <w:ilvl w:val="0"/>
          <w:numId w:val="7"/>
        </w:numPr>
        <w:rPr>
          <w:rFonts w:cstheme="minorHAnsi"/>
        </w:rPr>
      </w:pPr>
      <w:r w:rsidRPr="00A45C76">
        <w:rPr>
          <w:rFonts w:cstheme="minorHAnsi"/>
        </w:rPr>
        <w:t>Items not dispensed</w:t>
      </w:r>
      <w:r w:rsidRPr="001F3797">
        <w:rPr>
          <w:rFonts w:cstheme="minorHAnsi"/>
        </w:rPr>
        <w:t xml:space="preserve">, disallowed and those returned to the contractor for further clarification. </w:t>
      </w:r>
    </w:p>
    <w:p w14:paraId="5EE1F872" w14:textId="77777777" w:rsidR="00B81CA3" w:rsidRPr="001F3797" w:rsidRDefault="00B81CA3" w:rsidP="0016551E">
      <w:pPr>
        <w:pStyle w:val="ListParagraph"/>
        <w:numPr>
          <w:ilvl w:val="0"/>
          <w:numId w:val="7"/>
        </w:numPr>
        <w:rPr>
          <w:rFonts w:cstheme="minorHAnsi"/>
        </w:rPr>
      </w:pPr>
      <w:r w:rsidRPr="001F3797">
        <w:rPr>
          <w:rFonts w:cstheme="minorHAnsi"/>
        </w:rPr>
        <w:t>Prescriptions prescribed and dispensed in Prisons, Hospitals and Private prescriptions.</w:t>
      </w:r>
    </w:p>
    <w:p w14:paraId="1E0511F8" w14:textId="4136E623" w:rsidR="00B81CA3" w:rsidRDefault="00B81CA3" w:rsidP="0016551E">
      <w:pPr>
        <w:pStyle w:val="ListParagraph"/>
        <w:numPr>
          <w:ilvl w:val="0"/>
          <w:numId w:val="7"/>
        </w:numPr>
        <w:rPr>
          <w:rFonts w:cstheme="minorHAnsi"/>
        </w:rPr>
      </w:pPr>
      <w:r w:rsidRPr="001F3797">
        <w:rPr>
          <w:rFonts w:cstheme="minorHAnsi"/>
        </w:rPr>
        <w:t>Items prescribed but not presented for dispensing or not submitted to NHS Prescription Services by the dispenser</w:t>
      </w:r>
    </w:p>
    <w:p w14:paraId="4CAAA34F" w14:textId="661AADFB" w:rsidR="00756DCA" w:rsidRPr="00756DCA" w:rsidRDefault="00AC700C" w:rsidP="00756DCA">
      <w:pPr>
        <w:pStyle w:val="ListParagraph"/>
        <w:numPr>
          <w:ilvl w:val="0"/>
          <w:numId w:val="7"/>
        </w:numPr>
        <w:rPr>
          <w:rFonts w:cstheme="minorHAnsi"/>
        </w:rPr>
      </w:pPr>
      <w:r>
        <w:rPr>
          <w:rFonts w:cstheme="minorHAnsi"/>
        </w:rPr>
        <w:t>Items prescribed for instalment dispensing that is those using ‘FP10MDA’ forms</w:t>
      </w:r>
    </w:p>
    <w:p w14:paraId="4F089D7A" w14:textId="77777777" w:rsidR="004C3E9E" w:rsidRPr="001F3797" w:rsidRDefault="004C3E9E" w:rsidP="004C3E9E">
      <w:pPr>
        <w:pStyle w:val="ListParagraph"/>
        <w:rPr>
          <w:rFonts w:cstheme="minorHAnsi"/>
        </w:rPr>
      </w:pPr>
    </w:p>
    <w:p w14:paraId="520A2A1F" w14:textId="207E1468" w:rsidR="00B81CA3" w:rsidRPr="00431E28" w:rsidRDefault="00B81CA3" w:rsidP="0016551E">
      <w:pPr>
        <w:pStyle w:val="Heading1"/>
        <w:numPr>
          <w:ilvl w:val="0"/>
          <w:numId w:val="12"/>
        </w:numPr>
        <w:rPr>
          <w:rFonts w:asciiTheme="minorHAnsi" w:hAnsiTheme="minorHAnsi" w:cstheme="minorHAnsi"/>
        </w:rPr>
      </w:pPr>
      <w:bookmarkStart w:id="8" w:name="_Toc165029569"/>
      <w:r w:rsidRPr="00431E28">
        <w:rPr>
          <w:rFonts w:asciiTheme="minorHAnsi" w:hAnsiTheme="minorHAnsi" w:cstheme="minorHAnsi"/>
        </w:rPr>
        <w:lastRenderedPageBreak/>
        <w:t>Identified patients</w:t>
      </w:r>
      <w:bookmarkEnd w:id="8"/>
    </w:p>
    <w:p w14:paraId="2BBE1DA2" w14:textId="27534D98" w:rsidR="00B81CA3" w:rsidRPr="00756DCA" w:rsidRDefault="00253383" w:rsidP="00756DCA">
      <w:pPr>
        <w:rPr>
          <w:rFonts w:cstheme="minorHAnsi"/>
        </w:rPr>
      </w:pPr>
      <w:r w:rsidRPr="00756DCA">
        <w:rPr>
          <w:rFonts w:cstheme="minorHAnsi"/>
        </w:rPr>
        <w:t>Patient counts are</w:t>
      </w:r>
      <w:r w:rsidR="00B81CA3" w:rsidRPr="00756DCA">
        <w:rPr>
          <w:rFonts w:cstheme="minorHAnsi"/>
        </w:rPr>
        <w:t xml:space="preserve"> based on NHS numbers read from EPS messages or scanned from paper forms. These have not been subject verification </w:t>
      </w:r>
      <w:r w:rsidR="00780974" w:rsidRPr="00756DCA">
        <w:rPr>
          <w:rFonts w:cstheme="minorHAnsi"/>
        </w:rPr>
        <w:t>by the NHS Patient Demographics Service and may therefore include inaccurate or mis-scanned NHS numbers</w:t>
      </w:r>
    </w:p>
    <w:p w14:paraId="750568FC" w14:textId="1D7B24CA" w:rsidR="00780974" w:rsidRPr="00756DCA" w:rsidRDefault="00780974" w:rsidP="00756DCA">
      <w:pPr>
        <w:rPr>
          <w:rFonts w:cstheme="minorHAnsi"/>
        </w:rPr>
      </w:pPr>
      <w:r w:rsidRPr="00756DCA">
        <w:rPr>
          <w:rFonts w:cstheme="minorHAnsi"/>
        </w:rPr>
        <w:t>Information will be produced anonymously without any identifiable information being included – and a risk assessment will be conducted to establish whether the re-identification risk warrants further disclosure control.</w:t>
      </w:r>
    </w:p>
    <w:p w14:paraId="65770767" w14:textId="4CAE3695" w:rsidR="00780974" w:rsidRPr="00756DCA" w:rsidRDefault="009574F7" w:rsidP="00756DCA">
      <w:pPr>
        <w:rPr>
          <w:rFonts w:cstheme="minorHAnsi"/>
        </w:rPr>
      </w:pPr>
      <w:r w:rsidRPr="00756DCA">
        <w:rPr>
          <w:rFonts w:cstheme="minorHAnsi"/>
        </w:rPr>
        <w:t>Or</w:t>
      </w:r>
      <w:r w:rsidR="00780974" w:rsidRPr="00756DCA">
        <w:rPr>
          <w:rFonts w:cstheme="minorHAnsi"/>
        </w:rPr>
        <w:t>ganisations with direct clinical care for a patient who see information of concern, may request the underlying NHS Numbers for any comparators. In so doing they can compare records to clinical systems and conduct case review. This will also provide them with an opportunity to resolve any spurious NHS numbers generated during the scanning process.</w:t>
      </w:r>
    </w:p>
    <w:p w14:paraId="277A501B" w14:textId="05313F9D" w:rsidR="009E760A" w:rsidRPr="00756DCA" w:rsidRDefault="009E760A" w:rsidP="00756DCA">
      <w:pPr>
        <w:rPr>
          <w:rFonts w:cstheme="minorHAnsi"/>
        </w:rPr>
      </w:pPr>
      <w:r w:rsidRPr="00756DCA">
        <w:rPr>
          <w:rFonts w:cstheme="minorHAnsi"/>
        </w:rPr>
        <w:t xml:space="preserve">See </w:t>
      </w:r>
      <w:r w:rsidR="00F05A9A" w:rsidRPr="00756DCA">
        <w:rPr>
          <w:rFonts w:cstheme="minorHAnsi"/>
        </w:rPr>
        <w:t>Section 8</w:t>
      </w:r>
      <w:r w:rsidRPr="00756DCA">
        <w:rPr>
          <w:rFonts w:cstheme="minorHAnsi"/>
        </w:rPr>
        <w:t xml:space="preserve"> for analysis of patient identification rates at the time of development of the prototype comparators.</w:t>
      </w:r>
    </w:p>
    <w:p w14:paraId="5F0E7632" w14:textId="68295E16" w:rsidR="00B81CA3" w:rsidRPr="00431E28" w:rsidRDefault="00161FC2" w:rsidP="0016551E">
      <w:pPr>
        <w:pStyle w:val="Heading1"/>
        <w:numPr>
          <w:ilvl w:val="1"/>
          <w:numId w:val="6"/>
        </w:numPr>
        <w:rPr>
          <w:rFonts w:asciiTheme="minorHAnsi" w:hAnsiTheme="minorHAnsi" w:cstheme="minorHAnsi"/>
        </w:rPr>
      </w:pPr>
      <w:bookmarkStart w:id="9" w:name="_Toc165029570"/>
      <w:r w:rsidRPr="00431E28">
        <w:rPr>
          <w:rFonts w:asciiTheme="minorHAnsi" w:hAnsiTheme="minorHAnsi" w:cstheme="minorHAnsi"/>
        </w:rPr>
        <w:t>NHS structure</w:t>
      </w:r>
      <w:bookmarkEnd w:id="9"/>
    </w:p>
    <w:p w14:paraId="6B7D0F8D" w14:textId="42FC70AD" w:rsidR="003C17E5" w:rsidRPr="001F3797" w:rsidRDefault="005B58B0" w:rsidP="0035674C">
      <w:pPr>
        <w:rPr>
          <w:rFonts w:cstheme="minorHAnsi"/>
        </w:rPr>
      </w:pPr>
      <w:r w:rsidRPr="001F3797">
        <w:rPr>
          <w:rFonts w:cstheme="minorHAnsi"/>
        </w:rPr>
        <w:t>Patients</w:t>
      </w:r>
      <w:r w:rsidR="00AF351A" w:rsidRPr="001F3797">
        <w:rPr>
          <w:rFonts w:cstheme="minorHAnsi"/>
        </w:rPr>
        <w:t xml:space="preserve"> are</w:t>
      </w:r>
      <w:r w:rsidRPr="001F3797">
        <w:rPr>
          <w:rFonts w:cstheme="minorHAnsi"/>
        </w:rPr>
        <w:t xml:space="preserve"> reported against a single practice </w:t>
      </w:r>
      <w:r w:rsidR="00334C17">
        <w:rPr>
          <w:rFonts w:cstheme="minorHAnsi"/>
        </w:rPr>
        <w:t>to provide a comprehensive view of their prescriptions:</w:t>
      </w:r>
    </w:p>
    <w:p w14:paraId="70942B45" w14:textId="68157CCB" w:rsidR="0045229E" w:rsidRPr="001F3797" w:rsidRDefault="00334C17" w:rsidP="00334C17">
      <w:pPr>
        <w:pStyle w:val="ListParagraph"/>
        <w:numPr>
          <w:ilvl w:val="0"/>
          <w:numId w:val="1"/>
        </w:numPr>
        <w:rPr>
          <w:rFonts w:cstheme="minorHAnsi"/>
        </w:rPr>
      </w:pPr>
      <w:r>
        <w:rPr>
          <w:rFonts w:cstheme="minorHAnsi"/>
        </w:rPr>
        <w:t xml:space="preserve">Where possible each patient is reported against the most recent registered practice from data available to the NHS BSA data warehouse at the time of reporting. This may be from the most recent </w:t>
      </w:r>
      <w:r w:rsidRPr="009E5780">
        <w:rPr>
          <w:rFonts w:cstheme="minorHAnsi"/>
        </w:rPr>
        <w:t>Electronic Prescribing System</w:t>
      </w:r>
      <w:r>
        <w:rPr>
          <w:rFonts w:cstheme="minorHAnsi"/>
        </w:rPr>
        <w:t xml:space="preserve"> (EPS) message received for a patient, or the most recent update from the NHS Personal Demographics Service (PDS). Where no registered practice information is found the latest organisation to have issued a prescription to the patient is used. This may result in some patients being allocated to non-GP practices and excluded from the dashboard until such time as registered practice information becomes known to NHS BSA.</w:t>
      </w:r>
    </w:p>
    <w:p w14:paraId="45349CA4" w14:textId="6399B92D" w:rsidR="00A70A3B" w:rsidRPr="00756DCA" w:rsidRDefault="00A70A3B" w:rsidP="00756DCA">
      <w:pPr>
        <w:rPr>
          <w:rFonts w:cstheme="minorHAnsi"/>
        </w:rPr>
      </w:pPr>
      <w:r w:rsidRPr="00756DCA">
        <w:rPr>
          <w:rFonts w:cstheme="minorHAnsi"/>
        </w:rPr>
        <w:t>This means that the data reported against a single GP practice may include data relating to prescriptions from other organisations</w:t>
      </w:r>
      <w:r w:rsidR="00621D47" w:rsidRPr="00756DCA">
        <w:rPr>
          <w:rFonts w:cstheme="minorHAnsi"/>
        </w:rPr>
        <w:t xml:space="preserve"> such as a previous practice</w:t>
      </w:r>
      <w:r w:rsidR="00334C17" w:rsidRPr="00756DCA">
        <w:rPr>
          <w:rFonts w:cstheme="minorHAnsi"/>
        </w:rPr>
        <w:t xml:space="preserve"> or non-GP organisations</w:t>
      </w:r>
      <w:r w:rsidRPr="00756DCA">
        <w:rPr>
          <w:rFonts w:cstheme="minorHAnsi"/>
        </w:rPr>
        <w:t>.</w:t>
      </w:r>
    </w:p>
    <w:p w14:paraId="1D0F3149" w14:textId="593FAA80" w:rsidR="00161FC2" w:rsidRPr="00756DCA" w:rsidRDefault="005B58B0" w:rsidP="00756DCA">
      <w:pPr>
        <w:rPr>
          <w:rFonts w:cstheme="minorHAnsi"/>
        </w:rPr>
      </w:pPr>
      <w:r w:rsidRPr="00756DCA">
        <w:rPr>
          <w:rFonts w:cstheme="minorHAnsi"/>
        </w:rPr>
        <w:t>Any h</w:t>
      </w:r>
      <w:r w:rsidR="00161FC2" w:rsidRPr="00756DCA">
        <w:rPr>
          <w:rFonts w:cstheme="minorHAnsi"/>
        </w:rPr>
        <w:t xml:space="preserve">igher NHS </w:t>
      </w:r>
      <w:r w:rsidRPr="00756DCA">
        <w:rPr>
          <w:rFonts w:cstheme="minorHAnsi"/>
        </w:rPr>
        <w:t xml:space="preserve">organisation structure </w:t>
      </w:r>
      <w:r w:rsidR="00161FC2" w:rsidRPr="00756DCA">
        <w:rPr>
          <w:rFonts w:cstheme="minorHAnsi"/>
        </w:rPr>
        <w:t xml:space="preserve">can be derived via </w:t>
      </w:r>
      <w:r w:rsidRPr="00756DCA">
        <w:rPr>
          <w:rFonts w:cstheme="minorHAnsi"/>
        </w:rPr>
        <w:t>th</w:t>
      </w:r>
      <w:r w:rsidR="00AC700C" w:rsidRPr="00756DCA">
        <w:rPr>
          <w:rFonts w:cstheme="minorHAnsi"/>
        </w:rPr>
        <w:t>at</w:t>
      </w:r>
      <w:r w:rsidRPr="00756DCA">
        <w:rPr>
          <w:rFonts w:cstheme="minorHAnsi"/>
        </w:rPr>
        <w:t xml:space="preserve"> </w:t>
      </w:r>
      <w:r w:rsidR="00161FC2" w:rsidRPr="00756DCA">
        <w:rPr>
          <w:rFonts w:cstheme="minorHAnsi"/>
        </w:rPr>
        <w:t>practice</w:t>
      </w:r>
      <w:r w:rsidR="009B40C8" w:rsidRPr="00756DCA">
        <w:rPr>
          <w:rFonts w:cstheme="minorHAnsi"/>
        </w:rPr>
        <w:t>, and is provided within the dashboard at the following levels</w:t>
      </w:r>
      <w:r w:rsidR="00161FC2" w:rsidRPr="00756DCA">
        <w:rPr>
          <w:rFonts w:cstheme="minorHAnsi"/>
        </w:rPr>
        <w:t>:</w:t>
      </w:r>
    </w:p>
    <w:p w14:paraId="4ABAD9CF" w14:textId="664C0741" w:rsidR="009B40C8" w:rsidRDefault="009B40C8" w:rsidP="009E5780">
      <w:pPr>
        <w:pStyle w:val="ListParagraph"/>
        <w:numPr>
          <w:ilvl w:val="1"/>
          <w:numId w:val="1"/>
        </w:numPr>
        <w:rPr>
          <w:rFonts w:cstheme="minorHAnsi"/>
        </w:rPr>
      </w:pPr>
      <w:r>
        <w:rPr>
          <w:rFonts w:cstheme="minorHAnsi"/>
        </w:rPr>
        <w:t>National</w:t>
      </w:r>
    </w:p>
    <w:p w14:paraId="22E31910" w14:textId="3DCBB3BB" w:rsidR="009B40C8" w:rsidRDefault="009E5780" w:rsidP="009E5780">
      <w:pPr>
        <w:pStyle w:val="ListParagraph"/>
        <w:numPr>
          <w:ilvl w:val="1"/>
          <w:numId w:val="1"/>
        </w:numPr>
        <w:rPr>
          <w:rFonts w:cstheme="minorHAnsi"/>
        </w:rPr>
      </w:pPr>
      <w:r w:rsidRPr="00334C17">
        <w:rPr>
          <w:rFonts w:cstheme="minorHAnsi"/>
        </w:rPr>
        <w:t>Integrated Care Board (ICB)</w:t>
      </w:r>
    </w:p>
    <w:p w14:paraId="614CF003" w14:textId="0410F67C" w:rsidR="003C17E5" w:rsidRDefault="009E5780" w:rsidP="009B40C8">
      <w:pPr>
        <w:pStyle w:val="ListParagraph"/>
        <w:numPr>
          <w:ilvl w:val="1"/>
          <w:numId w:val="1"/>
        </w:numPr>
        <w:rPr>
          <w:rFonts w:cstheme="minorHAnsi"/>
        </w:rPr>
      </w:pPr>
      <w:r w:rsidRPr="00334C17">
        <w:rPr>
          <w:rFonts w:cstheme="minorHAnsi"/>
        </w:rPr>
        <w:t>Sub Integrated Care Board Location (SICBL)</w:t>
      </w:r>
    </w:p>
    <w:p w14:paraId="5B7EEFF4" w14:textId="77777777" w:rsidR="004C3E9E" w:rsidRPr="004C3E9E" w:rsidRDefault="004C3E9E" w:rsidP="004C3E9E">
      <w:pPr>
        <w:pStyle w:val="ListParagraph"/>
        <w:ind w:left="1440"/>
        <w:rPr>
          <w:rFonts w:cstheme="minorHAnsi"/>
        </w:rPr>
      </w:pPr>
    </w:p>
    <w:p w14:paraId="4ABF382C" w14:textId="4DEA0AD0" w:rsidR="005B58B0" w:rsidRPr="00431E28" w:rsidRDefault="005B58B0" w:rsidP="0016551E">
      <w:pPr>
        <w:pStyle w:val="Heading1"/>
        <w:numPr>
          <w:ilvl w:val="1"/>
          <w:numId w:val="6"/>
        </w:numPr>
        <w:rPr>
          <w:rFonts w:asciiTheme="minorHAnsi" w:hAnsiTheme="minorHAnsi" w:cstheme="minorHAnsi"/>
        </w:rPr>
      </w:pPr>
      <w:bookmarkStart w:id="10" w:name="_Toc165029571"/>
      <w:r w:rsidRPr="00431E28">
        <w:rPr>
          <w:rFonts w:asciiTheme="minorHAnsi" w:hAnsiTheme="minorHAnsi" w:cstheme="minorHAnsi"/>
        </w:rPr>
        <w:t>Other breakdowns</w:t>
      </w:r>
      <w:bookmarkEnd w:id="10"/>
    </w:p>
    <w:p w14:paraId="4558C0D2" w14:textId="68D2007C" w:rsidR="00877675" w:rsidRPr="001F3797" w:rsidRDefault="003C17E5" w:rsidP="0035674C">
      <w:pPr>
        <w:rPr>
          <w:rFonts w:cstheme="minorHAnsi"/>
        </w:rPr>
      </w:pPr>
      <w:r w:rsidRPr="001F3797">
        <w:rPr>
          <w:rFonts w:cstheme="minorHAnsi"/>
        </w:rPr>
        <w:t xml:space="preserve">Other </w:t>
      </w:r>
      <w:r w:rsidR="00807C86" w:rsidRPr="001F3797">
        <w:rPr>
          <w:rFonts w:cstheme="minorHAnsi"/>
        </w:rPr>
        <w:t>breakdowns</w:t>
      </w:r>
      <w:r w:rsidRPr="001F3797">
        <w:rPr>
          <w:rFonts w:cstheme="minorHAnsi"/>
        </w:rPr>
        <w:t xml:space="preserve"> </w:t>
      </w:r>
      <w:r w:rsidR="00BE6D48" w:rsidRPr="001F3797">
        <w:rPr>
          <w:rFonts w:cstheme="minorHAnsi"/>
        </w:rPr>
        <w:t>are</w:t>
      </w:r>
      <w:r w:rsidRPr="001F3797">
        <w:rPr>
          <w:rFonts w:cstheme="minorHAnsi"/>
        </w:rPr>
        <w:t xml:space="preserve"> available for some comparators on the following basis:</w:t>
      </w:r>
    </w:p>
    <w:p w14:paraId="17AB0F15" w14:textId="2C0ED05C" w:rsidR="007844FF" w:rsidRDefault="00B81CA3" w:rsidP="0016551E">
      <w:pPr>
        <w:pStyle w:val="ListParagraph"/>
        <w:numPr>
          <w:ilvl w:val="0"/>
          <w:numId w:val="2"/>
        </w:numPr>
        <w:rPr>
          <w:rFonts w:cstheme="minorHAnsi"/>
        </w:rPr>
      </w:pPr>
      <w:r w:rsidRPr="001F3797">
        <w:rPr>
          <w:rFonts w:cstheme="minorHAnsi"/>
          <w:b/>
          <w:bCs w:val="0"/>
        </w:rPr>
        <w:t>Age</w:t>
      </w:r>
      <w:r w:rsidR="004E2880" w:rsidRPr="001F3797">
        <w:rPr>
          <w:rFonts w:cstheme="minorHAnsi"/>
          <w:b/>
          <w:bCs w:val="0"/>
        </w:rPr>
        <w:t xml:space="preserve"> </w:t>
      </w:r>
      <w:r w:rsidRPr="001F3797">
        <w:rPr>
          <w:rFonts w:cstheme="minorHAnsi"/>
        </w:rPr>
        <w:t>–</w:t>
      </w:r>
      <w:r w:rsidR="00161FC2" w:rsidRPr="001F3797">
        <w:rPr>
          <w:rFonts w:cstheme="minorHAnsi"/>
        </w:rPr>
        <w:t xml:space="preserve"> </w:t>
      </w:r>
      <w:r w:rsidR="004E2880" w:rsidRPr="001F3797">
        <w:rPr>
          <w:rFonts w:cstheme="minorHAnsi"/>
        </w:rPr>
        <w:t xml:space="preserve">age </w:t>
      </w:r>
      <w:r w:rsidR="00BE6D48" w:rsidRPr="001F3797">
        <w:rPr>
          <w:rFonts w:cstheme="minorHAnsi"/>
        </w:rPr>
        <w:t>is</w:t>
      </w:r>
      <w:r w:rsidR="004E2880" w:rsidRPr="001F3797">
        <w:rPr>
          <w:rFonts w:cstheme="minorHAnsi"/>
        </w:rPr>
        <w:t xml:space="preserve"> reported as a single age for the patient</w:t>
      </w:r>
      <w:r w:rsidR="009B40C8">
        <w:rPr>
          <w:rFonts w:cstheme="minorHAnsi"/>
        </w:rPr>
        <w:t xml:space="preserve"> at the last month in the 12-month rolling period and identified within the dashboard as under 75 or 75 years and older</w:t>
      </w:r>
      <w:r w:rsidR="003C17E5" w:rsidRPr="001F3797">
        <w:rPr>
          <w:rFonts w:cstheme="minorHAnsi"/>
        </w:rPr>
        <w:t>.</w:t>
      </w:r>
      <w:r w:rsidR="00621D47">
        <w:rPr>
          <w:rFonts w:cstheme="minorHAnsi"/>
        </w:rPr>
        <w:t xml:space="preserve"> Patient age is based</w:t>
      </w:r>
      <w:r w:rsidR="007844FF">
        <w:rPr>
          <w:rFonts w:cstheme="minorHAnsi"/>
        </w:rPr>
        <w:t>:</w:t>
      </w:r>
    </w:p>
    <w:p w14:paraId="60CD0FA1" w14:textId="5973F3D2" w:rsidR="007844FF" w:rsidRDefault="00621D47" w:rsidP="007844FF">
      <w:pPr>
        <w:pStyle w:val="ListParagraph"/>
        <w:numPr>
          <w:ilvl w:val="1"/>
          <w:numId w:val="2"/>
        </w:numPr>
        <w:rPr>
          <w:rFonts w:cstheme="minorHAnsi"/>
        </w:rPr>
      </w:pPr>
      <w:r>
        <w:rPr>
          <w:rFonts w:cstheme="minorHAnsi"/>
        </w:rPr>
        <w:t xml:space="preserve"> on the most recent EPS message, or</w:t>
      </w:r>
      <w:r w:rsidR="007844FF">
        <w:rPr>
          <w:rFonts w:cstheme="minorHAnsi"/>
        </w:rPr>
        <w:t>,</w:t>
      </w:r>
    </w:p>
    <w:p w14:paraId="67CDCDA6" w14:textId="3FA6A676" w:rsidR="007844FF" w:rsidRDefault="00621D47" w:rsidP="007844FF">
      <w:pPr>
        <w:pStyle w:val="ListParagraph"/>
        <w:numPr>
          <w:ilvl w:val="1"/>
          <w:numId w:val="2"/>
        </w:numPr>
        <w:rPr>
          <w:rFonts w:cstheme="minorHAnsi"/>
        </w:rPr>
      </w:pPr>
      <w:r>
        <w:rPr>
          <w:rFonts w:cstheme="minorHAnsi"/>
        </w:rPr>
        <w:t>if that is not available the most recent information that we hold from NHS Personal demographics service</w:t>
      </w:r>
      <w:r w:rsidR="007844FF">
        <w:rPr>
          <w:rFonts w:cstheme="minorHAnsi"/>
        </w:rPr>
        <w:t>,</w:t>
      </w:r>
      <w:r>
        <w:rPr>
          <w:rFonts w:cstheme="minorHAnsi"/>
        </w:rPr>
        <w:t xml:space="preserve"> or</w:t>
      </w:r>
      <w:r w:rsidR="007844FF">
        <w:rPr>
          <w:rFonts w:cstheme="minorHAnsi"/>
        </w:rPr>
        <w:t>,</w:t>
      </w:r>
    </w:p>
    <w:p w14:paraId="50F6BB41" w14:textId="223075C3" w:rsidR="00B81CA3" w:rsidRPr="001F3797" w:rsidRDefault="00621D47" w:rsidP="007844FF">
      <w:pPr>
        <w:pStyle w:val="ListParagraph"/>
        <w:numPr>
          <w:ilvl w:val="1"/>
          <w:numId w:val="2"/>
        </w:numPr>
        <w:rPr>
          <w:rFonts w:cstheme="minorHAnsi"/>
        </w:rPr>
      </w:pPr>
      <w:r>
        <w:rPr>
          <w:rFonts w:cstheme="minorHAnsi"/>
        </w:rPr>
        <w:t xml:space="preserve">if that is not available, the maximum age associated with the prescription </w:t>
      </w:r>
      <w:r w:rsidR="007C5DE7">
        <w:rPr>
          <w:rFonts w:cstheme="minorHAnsi"/>
        </w:rPr>
        <w:t>using the ePACT2 methodology</w:t>
      </w:r>
      <w:r w:rsidR="007844FF">
        <w:rPr>
          <w:rStyle w:val="FootnoteReference"/>
          <w:rFonts w:cstheme="minorHAnsi"/>
        </w:rPr>
        <w:footnoteReference w:id="2"/>
      </w:r>
      <w:r w:rsidR="007844FF">
        <w:rPr>
          <w:rFonts w:cstheme="minorHAnsi"/>
        </w:rPr>
        <w:t>.</w:t>
      </w:r>
    </w:p>
    <w:p w14:paraId="1C7BB096" w14:textId="5677671D" w:rsidR="004C3E9E" w:rsidRDefault="009B40C8" w:rsidP="004C3E9E">
      <w:pPr>
        <w:pStyle w:val="ListParagraph"/>
        <w:numPr>
          <w:ilvl w:val="0"/>
          <w:numId w:val="2"/>
        </w:numPr>
        <w:rPr>
          <w:rFonts w:cstheme="minorHAnsi"/>
        </w:rPr>
      </w:pPr>
      <w:r>
        <w:rPr>
          <w:rFonts w:cstheme="minorHAnsi"/>
          <w:b/>
          <w:bCs w:val="0"/>
        </w:rPr>
        <w:t>Polypharmacy</w:t>
      </w:r>
      <w:r w:rsidR="007C5DE7" w:rsidRPr="001F3797">
        <w:rPr>
          <w:rFonts w:cstheme="minorHAnsi"/>
          <w:b/>
          <w:bCs w:val="0"/>
        </w:rPr>
        <w:t xml:space="preserve"> </w:t>
      </w:r>
      <w:r w:rsidR="007C5DE7" w:rsidRPr="001F3797">
        <w:rPr>
          <w:rFonts w:cstheme="minorHAnsi"/>
        </w:rPr>
        <w:t xml:space="preserve">– </w:t>
      </w:r>
      <w:r>
        <w:rPr>
          <w:rFonts w:cstheme="minorHAnsi"/>
        </w:rPr>
        <w:t xml:space="preserve">patients are recorded as polypharmic where they have received 10 or more distinct chemical substances in the last month of the 12-month rolling period from BNF </w:t>
      </w:r>
      <w:r>
        <w:rPr>
          <w:rFonts w:cstheme="minorHAnsi"/>
        </w:rPr>
        <w:lastRenderedPageBreak/>
        <w:t>chapters 1-10, excluding chapter 5. This is aligned with the definition used in the polypharmacy dashboard.</w:t>
      </w:r>
    </w:p>
    <w:p w14:paraId="105D7779" w14:textId="77777777" w:rsidR="004C3E9E" w:rsidRPr="004C3E9E" w:rsidRDefault="004C3E9E" w:rsidP="004C3E9E">
      <w:pPr>
        <w:pStyle w:val="ListParagraph"/>
        <w:rPr>
          <w:rFonts w:cstheme="minorHAnsi"/>
        </w:rPr>
      </w:pPr>
    </w:p>
    <w:p w14:paraId="1B02D577" w14:textId="0AC0B7AF" w:rsidR="0097081A" w:rsidRPr="00431E28" w:rsidRDefault="0097081A" w:rsidP="004D2A10">
      <w:pPr>
        <w:pStyle w:val="Heading1"/>
      </w:pPr>
      <w:bookmarkStart w:id="11" w:name="_Toc165029572"/>
      <w:r w:rsidRPr="00431E28">
        <w:t>Guiding principles</w:t>
      </w:r>
      <w:bookmarkEnd w:id="11"/>
    </w:p>
    <w:p w14:paraId="56C3EE33" w14:textId="19AE66DC" w:rsidR="0097081A" w:rsidRPr="001F3797" w:rsidRDefault="0097081A" w:rsidP="0097081A">
      <w:pPr>
        <w:rPr>
          <w:rFonts w:cstheme="minorHAnsi"/>
        </w:rPr>
      </w:pPr>
      <w:r w:rsidRPr="001F3797">
        <w:rPr>
          <w:rFonts w:cstheme="minorHAnsi"/>
        </w:rPr>
        <w:t xml:space="preserve">Based on the previous work on the polypharmacy prescribing comparators, the </w:t>
      </w:r>
      <w:r w:rsidR="003F406B">
        <w:rPr>
          <w:rFonts w:cstheme="minorHAnsi"/>
        </w:rPr>
        <w:t>Oversupply</w:t>
      </w:r>
      <w:r w:rsidRPr="001F3797">
        <w:rPr>
          <w:rFonts w:cstheme="minorHAnsi"/>
        </w:rPr>
        <w:t xml:space="preserve"> data group worked to three key guiding </w:t>
      </w:r>
      <w:r w:rsidR="003F406B" w:rsidRPr="001F3797">
        <w:rPr>
          <w:rFonts w:cstheme="minorHAnsi"/>
        </w:rPr>
        <w:t>principles</w:t>
      </w:r>
      <w:r w:rsidR="003F406B">
        <w:rPr>
          <w:rFonts w:cstheme="minorHAnsi"/>
        </w:rPr>
        <w:t>: -</w:t>
      </w:r>
    </w:p>
    <w:p w14:paraId="35960EAB" w14:textId="77777777" w:rsidR="0097081A" w:rsidRPr="001F3797" w:rsidRDefault="0097081A" w:rsidP="0097081A">
      <w:pPr>
        <w:rPr>
          <w:rFonts w:cstheme="minorHAnsi"/>
        </w:rPr>
      </w:pPr>
      <w:r w:rsidRPr="001F3797">
        <w:rPr>
          <w:rFonts w:cstheme="minorHAnsi"/>
          <w:bCs w:val="0"/>
        </w:rPr>
        <w:t xml:space="preserve">1. Keep it simple </w:t>
      </w:r>
    </w:p>
    <w:p w14:paraId="58BD7E6D" w14:textId="52ACBBB8" w:rsidR="0097081A" w:rsidRPr="001F3797" w:rsidRDefault="0097081A" w:rsidP="0097081A">
      <w:pPr>
        <w:rPr>
          <w:rFonts w:cstheme="minorHAnsi"/>
        </w:rPr>
      </w:pPr>
      <w:r w:rsidRPr="001F3797">
        <w:rPr>
          <w:rFonts w:cstheme="minorHAnsi"/>
          <w:bCs w:val="0"/>
        </w:rPr>
        <w:t xml:space="preserve">2. </w:t>
      </w:r>
      <w:proofErr w:type="gramStart"/>
      <w:r w:rsidRPr="001F3797">
        <w:rPr>
          <w:rFonts w:cstheme="minorHAnsi"/>
          <w:bCs w:val="0"/>
        </w:rPr>
        <w:t>Keep the end user</w:t>
      </w:r>
      <w:r w:rsidR="003F406B">
        <w:rPr>
          <w:rFonts w:cstheme="minorHAnsi"/>
          <w:bCs w:val="0"/>
        </w:rPr>
        <w:t>s</w:t>
      </w:r>
      <w:r w:rsidRPr="001F3797">
        <w:rPr>
          <w:rFonts w:cstheme="minorHAnsi"/>
          <w:bCs w:val="0"/>
        </w:rPr>
        <w:t xml:space="preserve"> in mind at all times</w:t>
      </w:r>
      <w:proofErr w:type="gramEnd"/>
      <w:r w:rsidRPr="001F3797">
        <w:rPr>
          <w:rFonts w:cstheme="minorHAnsi"/>
          <w:bCs w:val="0"/>
        </w:rPr>
        <w:t xml:space="preserve"> </w:t>
      </w:r>
    </w:p>
    <w:p w14:paraId="59B0E9E6" w14:textId="7F2BFB15" w:rsidR="004D2A10" w:rsidRDefault="0097081A" w:rsidP="00334C17">
      <w:pPr>
        <w:rPr>
          <w:rFonts w:cstheme="minorHAnsi"/>
          <w:bCs w:val="0"/>
        </w:rPr>
      </w:pPr>
      <w:r w:rsidRPr="001F3797">
        <w:rPr>
          <w:rFonts w:cstheme="minorHAnsi"/>
          <w:bCs w:val="0"/>
        </w:rPr>
        <w:t>3. Must follow best evidence base where available.</w:t>
      </w:r>
    </w:p>
    <w:p w14:paraId="4BFE20E7" w14:textId="77777777" w:rsidR="00532378" w:rsidRPr="00334C17" w:rsidRDefault="00532378" w:rsidP="00334C17">
      <w:pPr>
        <w:rPr>
          <w:rFonts w:cstheme="minorHAnsi"/>
        </w:rPr>
      </w:pPr>
    </w:p>
    <w:p w14:paraId="23456BCD" w14:textId="315A8263" w:rsidR="004D2A10" w:rsidRDefault="004D2A10" w:rsidP="004D2A10">
      <w:pPr>
        <w:pStyle w:val="Heading1"/>
        <w:rPr>
          <w:rFonts w:asciiTheme="minorHAnsi" w:hAnsiTheme="minorHAnsi" w:cstheme="minorHAnsi"/>
        </w:rPr>
      </w:pPr>
      <w:bookmarkStart w:id="12" w:name="_Toc165029573"/>
      <w:r w:rsidRPr="004D2A10">
        <w:rPr>
          <w:rFonts w:asciiTheme="minorHAnsi" w:hAnsiTheme="minorHAnsi" w:cstheme="minorHAnsi"/>
        </w:rPr>
        <w:t>Comparator Specifications</w:t>
      </w:r>
      <w:bookmarkEnd w:id="12"/>
    </w:p>
    <w:p w14:paraId="7848CDDA" w14:textId="61A4AA3E" w:rsidR="00066261" w:rsidRDefault="000B5B0E" w:rsidP="00066261">
      <w:r>
        <w:t>Please note as new comparators are developed and added to the dashboard more information may be added here.</w:t>
      </w:r>
      <w:r w:rsidR="00CB6966">
        <w:t xml:space="preserve"> The specifications differ depending on the data used and are grouped in presentations</w:t>
      </w:r>
      <w:r w:rsidR="004F3F70">
        <w:t>.</w:t>
      </w:r>
    </w:p>
    <w:p w14:paraId="73353779" w14:textId="77777777" w:rsidR="00D15009" w:rsidRDefault="00B35E46" w:rsidP="00066261">
      <w:r>
        <w:t xml:space="preserve">Quantity refers to the baseline unit of each drug group, </w:t>
      </w:r>
      <w:proofErr w:type="spellStart"/>
      <w:r w:rsidR="00D15009">
        <w:t>ie</w:t>
      </w:r>
      <w:proofErr w:type="spellEnd"/>
      <w:r w:rsidR="00D15009">
        <w:t>:-</w:t>
      </w:r>
    </w:p>
    <w:p w14:paraId="527C3394" w14:textId="66E37412" w:rsidR="004F3F70" w:rsidRDefault="00D15009" w:rsidP="00D15009">
      <w:pPr>
        <w:pStyle w:val="ListParagraph"/>
        <w:numPr>
          <w:ilvl w:val="0"/>
          <w:numId w:val="46"/>
        </w:numPr>
      </w:pPr>
      <w:r>
        <w:t>tablets, capsules, sachets, oral suspension or syrup for antiplatelets, aspirin, laxatives or statins.</w:t>
      </w:r>
    </w:p>
    <w:p w14:paraId="64B6D7B5" w14:textId="1261EB63" w:rsidR="00D15009" w:rsidRDefault="00D15009" w:rsidP="00D15009">
      <w:pPr>
        <w:pStyle w:val="ListParagraph"/>
        <w:numPr>
          <w:ilvl w:val="0"/>
          <w:numId w:val="46"/>
        </w:numPr>
      </w:pPr>
      <w:r>
        <w:t>Sensors or strips for blood glucose sensors and blood glucose test strips.</w:t>
      </w:r>
    </w:p>
    <w:p w14:paraId="02472DF2" w14:textId="601855AD" w:rsidR="00D15009" w:rsidRDefault="00D15009" w:rsidP="00D15009">
      <w:pPr>
        <w:pStyle w:val="ListParagraph"/>
        <w:numPr>
          <w:ilvl w:val="0"/>
          <w:numId w:val="46"/>
        </w:numPr>
      </w:pPr>
      <w:r>
        <w:t>Drinks for oral nutritional supplementation or paediatric oral nutritional supplementation</w:t>
      </w:r>
    </w:p>
    <w:p w14:paraId="38EC8D3E" w14:textId="19FDF4F8" w:rsidR="00D15009" w:rsidRDefault="00D15009" w:rsidP="00D15009">
      <w:pPr>
        <w:pStyle w:val="ListParagraph"/>
        <w:numPr>
          <w:ilvl w:val="0"/>
          <w:numId w:val="46"/>
        </w:numPr>
      </w:pPr>
      <w:r>
        <w:t>Days of maximum prescribing for laxatives</w:t>
      </w:r>
    </w:p>
    <w:p w14:paraId="56B8B723" w14:textId="05321103" w:rsidR="00D15009" w:rsidRDefault="00D15009" w:rsidP="00D15009">
      <w:pPr>
        <w:pStyle w:val="ListParagraph"/>
        <w:numPr>
          <w:ilvl w:val="0"/>
          <w:numId w:val="46"/>
        </w:numPr>
      </w:pPr>
      <w:r>
        <w:t>30 days’ dose for inhalers</w:t>
      </w:r>
    </w:p>
    <w:p w14:paraId="65CAEC79" w14:textId="4867D51E" w:rsidR="00066261" w:rsidRPr="00066261" w:rsidRDefault="00C96ED3" w:rsidP="00066261">
      <w:pPr>
        <w:pStyle w:val="Heading1"/>
        <w:numPr>
          <w:ilvl w:val="1"/>
          <w:numId w:val="6"/>
        </w:numPr>
        <w:rPr>
          <w:rFonts w:asciiTheme="minorHAnsi" w:hAnsiTheme="minorHAnsi" w:cstheme="minorHAnsi"/>
        </w:rPr>
      </w:pPr>
      <w:bookmarkStart w:id="13" w:name="_Toc165029574"/>
      <w:r>
        <w:rPr>
          <w:rFonts w:asciiTheme="minorHAnsi" w:hAnsiTheme="minorHAnsi" w:cstheme="minorHAnsi"/>
        </w:rPr>
        <w:t>Patient comparators</w:t>
      </w:r>
      <w:bookmarkEnd w:id="13"/>
    </w:p>
    <w:p w14:paraId="785A3AE9" w14:textId="68D97139" w:rsidR="00981E34" w:rsidRPr="00431E28" w:rsidRDefault="00C96ED3" w:rsidP="00ED1739">
      <w:pPr>
        <w:pStyle w:val="Heading2"/>
      </w:pPr>
      <w:bookmarkStart w:id="14" w:name="_Toc165029575"/>
      <w:r>
        <w:t>% Over threshold patients</w:t>
      </w:r>
      <w:bookmarkEnd w:id="14"/>
    </w:p>
    <w:tbl>
      <w:tblPr>
        <w:tblStyle w:val="TableGrid"/>
        <w:tblW w:w="5000" w:type="pct"/>
        <w:tblLayout w:type="fixed"/>
        <w:tblLook w:val="04A0" w:firstRow="1" w:lastRow="0" w:firstColumn="1" w:lastColumn="0" w:noHBand="0" w:noVBand="1"/>
      </w:tblPr>
      <w:tblGrid>
        <w:gridCol w:w="1697"/>
        <w:gridCol w:w="7319"/>
      </w:tblGrid>
      <w:tr w:rsidR="00981E34" w:rsidRPr="001F3797" w14:paraId="2175D215" w14:textId="77777777" w:rsidTr="001851F2">
        <w:tc>
          <w:tcPr>
            <w:tcW w:w="941" w:type="pct"/>
          </w:tcPr>
          <w:p w14:paraId="3892E851" w14:textId="77777777" w:rsidR="00981E34" w:rsidRPr="001F3797" w:rsidRDefault="00981E34" w:rsidP="001851F2">
            <w:pPr>
              <w:rPr>
                <w:rFonts w:cstheme="minorHAnsi"/>
              </w:rPr>
            </w:pPr>
            <w:r w:rsidRPr="001F3797">
              <w:rPr>
                <w:rFonts w:cstheme="minorHAnsi"/>
              </w:rPr>
              <w:t>Title</w:t>
            </w:r>
          </w:p>
        </w:tc>
        <w:tc>
          <w:tcPr>
            <w:tcW w:w="4059" w:type="pct"/>
          </w:tcPr>
          <w:p w14:paraId="76E74603" w14:textId="37519A28" w:rsidR="00981E34" w:rsidRPr="001F3797" w:rsidRDefault="00C96ED3" w:rsidP="001851F2">
            <w:pPr>
              <w:rPr>
                <w:rFonts w:cstheme="minorHAnsi"/>
              </w:rPr>
            </w:pPr>
            <w:r>
              <w:rPr>
                <w:rFonts w:cstheme="minorHAnsi"/>
              </w:rPr>
              <w:t>% over threshold patients</w:t>
            </w:r>
          </w:p>
        </w:tc>
      </w:tr>
      <w:tr w:rsidR="00981E34" w:rsidRPr="001F3797" w14:paraId="2CCAA0E8" w14:textId="77777777" w:rsidTr="001851F2">
        <w:tc>
          <w:tcPr>
            <w:tcW w:w="941" w:type="pct"/>
          </w:tcPr>
          <w:p w14:paraId="4009462C" w14:textId="77777777" w:rsidR="00981E34" w:rsidRPr="001F3797" w:rsidRDefault="00981E34" w:rsidP="001851F2">
            <w:pPr>
              <w:rPr>
                <w:rFonts w:cstheme="minorHAnsi"/>
              </w:rPr>
            </w:pPr>
            <w:r w:rsidRPr="001F3797">
              <w:rPr>
                <w:rFonts w:cstheme="minorHAnsi"/>
              </w:rPr>
              <w:t>Description</w:t>
            </w:r>
          </w:p>
        </w:tc>
        <w:tc>
          <w:tcPr>
            <w:tcW w:w="4059" w:type="pct"/>
          </w:tcPr>
          <w:p w14:paraId="3ED5D7F5" w14:textId="0E0324B5" w:rsidR="00981E34" w:rsidRPr="001F3797" w:rsidRDefault="00981E34" w:rsidP="001851F2">
            <w:pPr>
              <w:rPr>
                <w:rFonts w:cstheme="minorHAnsi"/>
              </w:rPr>
            </w:pPr>
            <w:r w:rsidRPr="001F3797">
              <w:rPr>
                <w:rFonts w:cstheme="minorHAnsi"/>
              </w:rPr>
              <w:t xml:space="preserve">The </w:t>
            </w:r>
            <w:r w:rsidR="00C96ED3">
              <w:rPr>
                <w:rFonts w:cstheme="minorHAnsi"/>
              </w:rPr>
              <w:t>proportion of patients receiving a greater quantity than threshold in the 12-month rolling period</w:t>
            </w:r>
          </w:p>
        </w:tc>
      </w:tr>
      <w:tr w:rsidR="00981E34" w:rsidRPr="001F3797" w14:paraId="6FF1C9BB" w14:textId="77777777" w:rsidTr="001851F2">
        <w:tc>
          <w:tcPr>
            <w:tcW w:w="941" w:type="pct"/>
          </w:tcPr>
          <w:p w14:paraId="748BA205" w14:textId="77777777" w:rsidR="00981E34" w:rsidRPr="001F3797" w:rsidRDefault="00981E34" w:rsidP="001851F2">
            <w:pPr>
              <w:rPr>
                <w:rFonts w:cstheme="minorHAnsi"/>
              </w:rPr>
            </w:pPr>
            <w:r w:rsidRPr="001F3797">
              <w:rPr>
                <w:rFonts w:cstheme="minorHAnsi"/>
              </w:rPr>
              <w:t>Numerator</w:t>
            </w:r>
          </w:p>
        </w:tc>
        <w:tc>
          <w:tcPr>
            <w:tcW w:w="4059" w:type="pct"/>
          </w:tcPr>
          <w:p w14:paraId="5B60A828" w14:textId="108DEC65" w:rsidR="00D103AD" w:rsidRPr="001F3797" w:rsidRDefault="00D103AD" w:rsidP="00D103AD">
            <w:pPr>
              <w:rPr>
                <w:rFonts w:cstheme="minorHAnsi"/>
              </w:rPr>
            </w:pPr>
            <w:r w:rsidRPr="001F3797">
              <w:rPr>
                <w:rFonts w:cstheme="minorHAnsi"/>
              </w:rPr>
              <w:t xml:space="preserve">Number of </w:t>
            </w:r>
            <w:r w:rsidR="00C96ED3">
              <w:rPr>
                <w:rFonts w:cstheme="minorHAnsi"/>
              </w:rPr>
              <w:t xml:space="preserve">distinct </w:t>
            </w:r>
            <w:r w:rsidRPr="001F3797">
              <w:rPr>
                <w:rFonts w:cstheme="minorHAnsi"/>
              </w:rPr>
              <w:t>patients</w:t>
            </w:r>
            <w:r w:rsidR="009B0194">
              <w:rPr>
                <w:rFonts w:cstheme="minorHAnsi"/>
              </w:rPr>
              <w:t xml:space="preserve"> </w:t>
            </w:r>
            <w:r w:rsidR="00C96ED3">
              <w:rPr>
                <w:rFonts w:cstheme="minorHAnsi"/>
              </w:rPr>
              <w:t xml:space="preserve">identified receiving a greater quantity of prescribing than the threshold within the 12-month </w:t>
            </w:r>
            <w:r w:rsidR="00964837">
              <w:rPr>
                <w:rFonts w:cstheme="minorHAnsi"/>
              </w:rPr>
              <w:t>period.</w:t>
            </w:r>
          </w:p>
          <w:p w14:paraId="73F3EDAC" w14:textId="699ABF75" w:rsidR="00981E34" w:rsidRPr="001F3797" w:rsidRDefault="00981E34" w:rsidP="001851F2">
            <w:pPr>
              <w:rPr>
                <w:rFonts w:cstheme="minorHAnsi"/>
              </w:rPr>
            </w:pPr>
          </w:p>
        </w:tc>
      </w:tr>
      <w:tr w:rsidR="00981E34" w:rsidRPr="001F3797" w14:paraId="02944892" w14:textId="77777777" w:rsidTr="001851F2">
        <w:tc>
          <w:tcPr>
            <w:tcW w:w="941" w:type="pct"/>
          </w:tcPr>
          <w:p w14:paraId="29D4FAA7" w14:textId="77777777" w:rsidR="00981E34" w:rsidRPr="001F3797" w:rsidRDefault="00981E34" w:rsidP="001851F2">
            <w:pPr>
              <w:rPr>
                <w:rFonts w:cstheme="minorHAnsi"/>
              </w:rPr>
            </w:pPr>
            <w:r w:rsidRPr="001F3797">
              <w:rPr>
                <w:rFonts w:cstheme="minorHAnsi"/>
              </w:rPr>
              <w:t xml:space="preserve">Denominator </w:t>
            </w:r>
          </w:p>
        </w:tc>
        <w:tc>
          <w:tcPr>
            <w:tcW w:w="4059" w:type="pct"/>
          </w:tcPr>
          <w:p w14:paraId="6AA0ABE9" w14:textId="18FF2DD4" w:rsidR="00981E34" w:rsidRPr="001F3797" w:rsidRDefault="00981E34" w:rsidP="001851F2">
            <w:pPr>
              <w:rPr>
                <w:rFonts w:cstheme="minorHAnsi"/>
              </w:rPr>
            </w:pPr>
            <w:r w:rsidRPr="001F3797">
              <w:rPr>
                <w:rFonts w:cstheme="minorHAnsi"/>
              </w:rPr>
              <w:t xml:space="preserve">Total number of </w:t>
            </w:r>
            <w:r w:rsidR="00C96ED3">
              <w:rPr>
                <w:rFonts w:cstheme="minorHAnsi"/>
              </w:rPr>
              <w:t xml:space="preserve">distinct </w:t>
            </w:r>
            <w:r w:rsidRPr="001F3797">
              <w:rPr>
                <w:rFonts w:cstheme="minorHAnsi"/>
              </w:rPr>
              <w:t>patients</w:t>
            </w:r>
            <w:r w:rsidR="00C96ED3">
              <w:rPr>
                <w:rFonts w:cstheme="minorHAnsi"/>
              </w:rPr>
              <w:t xml:space="preserve"> identified</w:t>
            </w:r>
            <w:r w:rsidRPr="001F3797">
              <w:rPr>
                <w:rFonts w:cstheme="minorHAnsi"/>
              </w:rPr>
              <w:t xml:space="preserve"> </w:t>
            </w:r>
            <w:r w:rsidR="00C96ED3">
              <w:rPr>
                <w:rFonts w:cstheme="minorHAnsi"/>
              </w:rPr>
              <w:t>who have received at least one item within the drug group</w:t>
            </w:r>
            <w:r w:rsidR="00964837">
              <w:rPr>
                <w:rFonts w:cstheme="minorHAnsi"/>
              </w:rPr>
              <w:t xml:space="preserve"> in the 12-month period.</w:t>
            </w:r>
          </w:p>
          <w:p w14:paraId="30F00248" w14:textId="0D22053C" w:rsidR="00981E34" w:rsidRPr="001F3797" w:rsidRDefault="00981E34" w:rsidP="001851F2">
            <w:pPr>
              <w:rPr>
                <w:rFonts w:cstheme="minorHAnsi"/>
              </w:rPr>
            </w:pPr>
          </w:p>
        </w:tc>
      </w:tr>
      <w:tr w:rsidR="00981E34" w:rsidRPr="001F3797" w14:paraId="66298BF7" w14:textId="77777777" w:rsidTr="001851F2">
        <w:trPr>
          <w:trHeight w:val="1266"/>
        </w:trPr>
        <w:tc>
          <w:tcPr>
            <w:tcW w:w="941" w:type="pct"/>
          </w:tcPr>
          <w:p w14:paraId="0DB0B64D" w14:textId="72A8EDED" w:rsidR="00981E34" w:rsidRPr="001F3797" w:rsidRDefault="00AD571B" w:rsidP="001851F2">
            <w:pPr>
              <w:rPr>
                <w:rFonts w:cstheme="minorHAnsi"/>
              </w:rPr>
            </w:pPr>
            <w:r w:rsidRPr="001F3797">
              <w:rPr>
                <w:rFonts w:cstheme="minorHAnsi"/>
              </w:rPr>
              <w:t xml:space="preserve">Rationale </w:t>
            </w:r>
            <w:r>
              <w:rPr>
                <w:rFonts w:cstheme="minorHAnsi"/>
              </w:rPr>
              <w:t>/ Comments</w:t>
            </w:r>
          </w:p>
        </w:tc>
        <w:tc>
          <w:tcPr>
            <w:tcW w:w="4059" w:type="pct"/>
          </w:tcPr>
          <w:p w14:paraId="4EA4AD17" w14:textId="77777777" w:rsidR="00981E34" w:rsidRDefault="00060721" w:rsidP="00C96ED3">
            <w:pPr>
              <w:rPr>
                <w:rFonts w:cstheme="minorHAnsi"/>
              </w:rPr>
            </w:pPr>
            <w:r>
              <w:rPr>
                <w:rFonts w:cstheme="minorHAnsi"/>
              </w:rPr>
              <w:t xml:space="preserve">This figure shows the scale of the issue and how many patients may have received an excessive amount of prescribing. </w:t>
            </w:r>
          </w:p>
          <w:p w14:paraId="414CC0D6" w14:textId="77777777" w:rsidR="00060721" w:rsidRDefault="00060721" w:rsidP="00C96ED3">
            <w:pPr>
              <w:rPr>
                <w:rFonts w:cstheme="minorHAnsi"/>
              </w:rPr>
            </w:pPr>
          </w:p>
          <w:p w14:paraId="5665745A" w14:textId="62961D8E" w:rsidR="00060721" w:rsidRDefault="00060721" w:rsidP="00C96ED3">
            <w:pPr>
              <w:rPr>
                <w:rFonts w:cstheme="minorHAnsi"/>
              </w:rPr>
            </w:pPr>
            <w:r>
              <w:rPr>
                <w:rFonts w:cstheme="minorHAnsi"/>
              </w:rPr>
              <w:t>Depending on the previous prescribing pattern and the intervention, a patient may continue to be flagged as oversupplied for a period of up to 12 months after an intervention.</w:t>
            </w:r>
          </w:p>
          <w:p w14:paraId="286321AC" w14:textId="77777777" w:rsidR="00060721" w:rsidRDefault="00060721" w:rsidP="00C96ED3">
            <w:pPr>
              <w:rPr>
                <w:rFonts w:cstheme="minorHAnsi"/>
              </w:rPr>
            </w:pPr>
          </w:p>
          <w:p w14:paraId="082D6A73" w14:textId="6F2AD82E" w:rsidR="00060721" w:rsidRDefault="00060721" w:rsidP="00C96ED3">
            <w:pPr>
              <w:rPr>
                <w:rFonts w:cstheme="minorHAnsi"/>
              </w:rPr>
            </w:pPr>
            <w:r>
              <w:rPr>
                <w:rFonts w:cstheme="minorHAnsi"/>
              </w:rPr>
              <w:t>For example</w:t>
            </w:r>
            <w:r w:rsidR="004472C7">
              <w:rPr>
                <w:rFonts w:cstheme="minorHAnsi"/>
              </w:rPr>
              <w:t xml:space="preserve">, </w:t>
            </w:r>
            <w:r>
              <w:rPr>
                <w:rFonts w:cstheme="minorHAnsi"/>
              </w:rPr>
              <w:t xml:space="preserve">Patient </w:t>
            </w:r>
            <w:r w:rsidR="004472C7">
              <w:rPr>
                <w:rFonts w:cstheme="minorHAnsi"/>
              </w:rPr>
              <w:t>A</w:t>
            </w:r>
            <w:r>
              <w:rPr>
                <w:rFonts w:cstheme="minorHAnsi"/>
              </w:rPr>
              <w:t xml:space="preserve"> receives a repeat script of 50 aspirin per month for 12 months (total rolling: 600) and as an intervention in January, the patient has the repeat prescription removed. In the first months after intervention their total rolling will continue to flag between February and </w:t>
            </w:r>
            <w:r w:rsidR="004472C7">
              <w:rPr>
                <w:rFonts w:cstheme="minorHAnsi"/>
              </w:rPr>
              <w:t>June</w:t>
            </w:r>
            <w:r>
              <w:rPr>
                <w:rFonts w:cstheme="minorHAnsi"/>
              </w:rPr>
              <w:t xml:space="preserve"> despite receiving no further prescribing, and in June they will no longer be oversupplied (total rolling: 350).</w:t>
            </w:r>
          </w:p>
          <w:p w14:paraId="6D2455C3" w14:textId="77777777" w:rsidR="00060721" w:rsidRDefault="00060721" w:rsidP="00C96ED3">
            <w:pPr>
              <w:rPr>
                <w:rFonts w:cstheme="minorHAnsi"/>
              </w:rPr>
            </w:pPr>
          </w:p>
          <w:p w14:paraId="6BF30131" w14:textId="3259A31B" w:rsidR="004472C7" w:rsidRDefault="00060721" w:rsidP="004472C7">
            <w:pPr>
              <w:rPr>
                <w:rFonts w:cstheme="minorHAnsi"/>
              </w:rPr>
            </w:pPr>
            <w:r>
              <w:rPr>
                <w:rFonts w:cstheme="minorHAnsi"/>
              </w:rPr>
              <w:t xml:space="preserve">Patient </w:t>
            </w:r>
            <w:r w:rsidR="004472C7">
              <w:rPr>
                <w:rFonts w:cstheme="minorHAnsi"/>
              </w:rPr>
              <w:t>B</w:t>
            </w:r>
            <w:r>
              <w:rPr>
                <w:rFonts w:cstheme="minorHAnsi"/>
              </w:rPr>
              <w:t xml:space="preserve"> receives a repeat script of 50 aspirin per month for the 12 month (total rolling: 600) and as an intervention in January</w:t>
            </w:r>
            <w:r w:rsidR="004472C7">
              <w:rPr>
                <w:rFonts w:cstheme="minorHAnsi"/>
              </w:rPr>
              <w:t xml:space="preserve">, the patient’s script is corrected to </w:t>
            </w:r>
            <w:r w:rsidR="004472C7">
              <w:rPr>
                <w:rFonts w:cstheme="minorHAnsi"/>
              </w:rPr>
              <w:lastRenderedPageBreak/>
              <w:t>28. The patient will continue to flag as overprescribed until November (total rolling: 380).</w:t>
            </w:r>
          </w:p>
          <w:p w14:paraId="2EDF570C" w14:textId="77777777" w:rsidR="004472C7" w:rsidRDefault="004472C7" w:rsidP="004472C7">
            <w:pPr>
              <w:rPr>
                <w:rFonts w:cstheme="minorHAnsi"/>
              </w:rPr>
            </w:pPr>
          </w:p>
          <w:p w14:paraId="34989F19" w14:textId="3C7FD667" w:rsidR="004472C7" w:rsidRDefault="004472C7" w:rsidP="004472C7">
            <w:pPr>
              <w:rPr>
                <w:rFonts w:cstheme="minorHAnsi"/>
              </w:rPr>
            </w:pPr>
            <w:r>
              <w:rPr>
                <w:rFonts w:cstheme="minorHAnsi"/>
              </w:rPr>
              <w:t>Patient C received an acute script for 600 aspirin (threshold: 392) in January– they will appear as oversupplied each month until the following January.</w:t>
            </w:r>
          </w:p>
          <w:p w14:paraId="5A3E5042" w14:textId="77777777" w:rsidR="004472C7" w:rsidRDefault="004472C7" w:rsidP="004472C7">
            <w:pPr>
              <w:rPr>
                <w:rFonts w:cstheme="minorHAnsi"/>
              </w:rPr>
            </w:pPr>
          </w:p>
          <w:p w14:paraId="46FCAA99" w14:textId="5BAD044A" w:rsidR="004472C7" w:rsidRPr="001F3797" w:rsidRDefault="004472C7" w:rsidP="004472C7">
            <w:pPr>
              <w:rPr>
                <w:rFonts w:cstheme="minorHAnsi"/>
              </w:rPr>
            </w:pPr>
            <w:r>
              <w:rPr>
                <w:rFonts w:cstheme="minorHAnsi"/>
              </w:rPr>
              <w:t>As the patient’s oversupply status is dependent on previous prescribing and what appropriate intervention had been applied, we would suggest looking at % over threshold quantity to see immediate impacts, and % over threshold patients to observe long term trends and impacts.</w:t>
            </w:r>
          </w:p>
        </w:tc>
      </w:tr>
    </w:tbl>
    <w:p w14:paraId="5F05FB08" w14:textId="250B944F" w:rsidR="003C2829" w:rsidRDefault="003C2829" w:rsidP="0021452F">
      <w:pPr>
        <w:pStyle w:val="Heading1"/>
        <w:numPr>
          <w:ilvl w:val="0"/>
          <w:numId w:val="0"/>
        </w:numPr>
      </w:pPr>
    </w:p>
    <w:p w14:paraId="34F182CB" w14:textId="77777777" w:rsidR="00403661" w:rsidRPr="00403661" w:rsidRDefault="00403661" w:rsidP="00403661"/>
    <w:p w14:paraId="25EF6508" w14:textId="77777777" w:rsidR="00C96ED3" w:rsidRDefault="00C96ED3" w:rsidP="00C96ED3">
      <w:pPr>
        <w:pStyle w:val="Heading1"/>
        <w:numPr>
          <w:ilvl w:val="1"/>
          <w:numId w:val="6"/>
        </w:numPr>
        <w:rPr>
          <w:rFonts w:cstheme="minorHAnsi"/>
        </w:rPr>
      </w:pPr>
      <w:bookmarkStart w:id="15" w:name="_Toc165029576"/>
      <w:r>
        <w:rPr>
          <w:rFonts w:cstheme="minorHAnsi"/>
        </w:rPr>
        <w:t>Quantity</w:t>
      </w:r>
      <w:r w:rsidR="0021452F">
        <w:rPr>
          <w:rFonts w:cstheme="minorHAnsi"/>
        </w:rPr>
        <w:t xml:space="preserve"> comparators</w:t>
      </w:r>
      <w:bookmarkEnd w:id="15"/>
    </w:p>
    <w:p w14:paraId="4B442234" w14:textId="73D1F040" w:rsidR="00C96ED3" w:rsidRPr="00431E28" w:rsidRDefault="00C96ED3" w:rsidP="00C96ED3">
      <w:pPr>
        <w:pStyle w:val="Heading2"/>
      </w:pPr>
      <w:bookmarkStart w:id="16" w:name="_Toc165029577"/>
      <w:r>
        <w:t>% Over threshold quantity</w:t>
      </w:r>
      <w:bookmarkEnd w:id="16"/>
    </w:p>
    <w:tbl>
      <w:tblPr>
        <w:tblStyle w:val="TableGrid"/>
        <w:tblW w:w="5000" w:type="pct"/>
        <w:tblLayout w:type="fixed"/>
        <w:tblLook w:val="04A0" w:firstRow="1" w:lastRow="0" w:firstColumn="1" w:lastColumn="0" w:noHBand="0" w:noVBand="1"/>
      </w:tblPr>
      <w:tblGrid>
        <w:gridCol w:w="1697"/>
        <w:gridCol w:w="7319"/>
      </w:tblGrid>
      <w:tr w:rsidR="00C96ED3" w:rsidRPr="001F3797" w14:paraId="4552910B" w14:textId="77777777" w:rsidTr="0002363D">
        <w:tc>
          <w:tcPr>
            <w:tcW w:w="941" w:type="pct"/>
          </w:tcPr>
          <w:p w14:paraId="0FE103FA" w14:textId="77777777" w:rsidR="00C96ED3" w:rsidRPr="001F3797" w:rsidRDefault="00C96ED3" w:rsidP="0002363D">
            <w:pPr>
              <w:rPr>
                <w:rFonts w:cstheme="minorHAnsi"/>
              </w:rPr>
            </w:pPr>
            <w:r w:rsidRPr="001F3797">
              <w:rPr>
                <w:rFonts w:cstheme="minorHAnsi"/>
              </w:rPr>
              <w:t>Title</w:t>
            </w:r>
          </w:p>
        </w:tc>
        <w:tc>
          <w:tcPr>
            <w:tcW w:w="4059" w:type="pct"/>
          </w:tcPr>
          <w:p w14:paraId="4662548D" w14:textId="07FE12DF" w:rsidR="00C96ED3" w:rsidRPr="001F3797" w:rsidRDefault="00C96ED3" w:rsidP="0002363D">
            <w:pPr>
              <w:rPr>
                <w:rFonts w:cstheme="minorHAnsi"/>
              </w:rPr>
            </w:pPr>
            <w:r>
              <w:rPr>
                <w:rFonts w:cstheme="minorHAnsi"/>
              </w:rPr>
              <w:t xml:space="preserve">% over threshold </w:t>
            </w:r>
            <w:r w:rsidR="00A91935">
              <w:rPr>
                <w:rFonts w:cstheme="minorHAnsi"/>
              </w:rPr>
              <w:t>quantity</w:t>
            </w:r>
          </w:p>
        </w:tc>
      </w:tr>
      <w:tr w:rsidR="00C96ED3" w:rsidRPr="001F3797" w14:paraId="35C96794" w14:textId="77777777" w:rsidTr="0002363D">
        <w:tc>
          <w:tcPr>
            <w:tcW w:w="941" w:type="pct"/>
          </w:tcPr>
          <w:p w14:paraId="0B933B73" w14:textId="77777777" w:rsidR="00C96ED3" w:rsidRPr="001F3797" w:rsidRDefault="00C96ED3" w:rsidP="0002363D">
            <w:pPr>
              <w:rPr>
                <w:rFonts w:cstheme="minorHAnsi"/>
              </w:rPr>
            </w:pPr>
            <w:r w:rsidRPr="001F3797">
              <w:rPr>
                <w:rFonts w:cstheme="minorHAnsi"/>
              </w:rPr>
              <w:t>Description</w:t>
            </w:r>
          </w:p>
        </w:tc>
        <w:tc>
          <w:tcPr>
            <w:tcW w:w="4059" w:type="pct"/>
          </w:tcPr>
          <w:p w14:paraId="2A5C6632" w14:textId="7606F19D" w:rsidR="00C96ED3" w:rsidRPr="001F3797" w:rsidRDefault="00C96ED3" w:rsidP="0002363D">
            <w:pPr>
              <w:rPr>
                <w:rFonts w:cstheme="minorHAnsi"/>
              </w:rPr>
            </w:pPr>
            <w:r w:rsidRPr="001F3797">
              <w:rPr>
                <w:rFonts w:cstheme="minorHAnsi"/>
              </w:rPr>
              <w:t xml:space="preserve">The </w:t>
            </w:r>
            <w:r>
              <w:rPr>
                <w:rFonts w:cstheme="minorHAnsi"/>
              </w:rPr>
              <w:t>pro</w:t>
            </w:r>
            <w:r w:rsidR="00A91935">
              <w:rPr>
                <w:rFonts w:cstheme="minorHAnsi"/>
              </w:rPr>
              <w:t>portion of quantity above</w:t>
            </w:r>
            <w:r>
              <w:rPr>
                <w:rFonts w:cstheme="minorHAnsi"/>
              </w:rPr>
              <w:t xml:space="preserve"> threshold in the 12-month rolling period</w:t>
            </w:r>
          </w:p>
        </w:tc>
      </w:tr>
      <w:tr w:rsidR="00C96ED3" w:rsidRPr="001F3797" w14:paraId="759CA756" w14:textId="77777777" w:rsidTr="0002363D">
        <w:tc>
          <w:tcPr>
            <w:tcW w:w="941" w:type="pct"/>
          </w:tcPr>
          <w:p w14:paraId="0A976353" w14:textId="77777777" w:rsidR="00C96ED3" w:rsidRPr="001F3797" w:rsidRDefault="00C96ED3" w:rsidP="0002363D">
            <w:pPr>
              <w:rPr>
                <w:rFonts w:cstheme="minorHAnsi"/>
              </w:rPr>
            </w:pPr>
            <w:r w:rsidRPr="001F3797">
              <w:rPr>
                <w:rFonts w:cstheme="minorHAnsi"/>
              </w:rPr>
              <w:t>Numerator</w:t>
            </w:r>
          </w:p>
        </w:tc>
        <w:tc>
          <w:tcPr>
            <w:tcW w:w="4059" w:type="pct"/>
          </w:tcPr>
          <w:p w14:paraId="6CCA105C" w14:textId="0B575CCF" w:rsidR="00C96ED3" w:rsidRPr="001F3797" w:rsidRDefault="00A91935" w:rsidP="0002363D">
            <w:pPr>
              <w:rPr>
                <w:rFonts w:cstheme="minorHAnsi"/>
              </w:rPr>
            </w:pPr>
            <w:r>
              <w:rPr>
                <w:rFonts w:cstheme="minorHAnsi"/>
              </w:rPr>
              <w:t xml:space="preserve">Total quantity of drugs each individual patient has received </w:t>
            </w:r>
            <w:proofErr w:type="gramStart"/>
            <w:r>
              <w:rPr>
                <w:rFonts w:cstheme="minorHAnsi"/>
              </w:rPr>
              <w:t>in excess of</w:t>
            </w:r>
            <w:proofErr w:type="gramEnd"/>
            <w:r>
              <w:rPr>
                <w:rFonts w:cstheme="minorHAnsi"/>
              </w:rPr>
              <w:t xml:space="preserve"> the threshold in the drug group.</w:t>
            </w:r>
          </w:p>
          <w:p w14:paraId="1EE295E1" w14:textId="77777777" w:rsidR="00C96ED3" w:rsidRPr="001F3797" w:rsidRDefault="00C96ED3" w:rsidP="0002363D">
            <w:pPr>
              <w:rPr>
                <w:rFonts w:cstheme="minorHAnsi"/>
              </w:rPr>
            </w:pPr>
          </w:p>
        </w:tc>
      </w:tr>
      <w:tr w:rsidR="00C96ED3" w:rsidRPr="001F3797" w14:paraId="4B5D742D" w14:textId="77777777" w:rsidTr="0002363D">
        <w:tc>
          <w:tcPr>
            <w:tcW w:w="941" w:type="pct"/>
          </w:tcPr>
          <w:p w14:paraId="15CC7CD7" w14:textId="77777777" w:rsidR="00C96ED3" w:rsidRPr="001F3797" w:rsidRDefault="00C96ED3" w:rsidP="0002363D">
            <w:pPr>
              <w:rPr>
                <w:rFonts w:cstheme="minorHAnsi"/>
              </w:rPr>
            </w:pPr>
            <w:r w:rsidRPr="001F3797">
              <w:rPr>
                <w:rFonts w:cstheme="minorHAnsi"/>
              </w:rPr>
              <w:t xml:space="preserve">Denominator </w:t>
            </w:r>
          </w:p>
        </w:tc>
        <w:tc>
          <w:tcPr>
            <w:tcW w:w="4059" w:type="pct"/>
          </w:tcPr>
          <w:p w14:paraId="60DDFB7A" w14:textId="5B17780C" w:rsidR="00C96ED3" w:rsidRPr="001F3797" w:rsidRDefault="00C96ED3" w:rsidP="0002363D">
            <w:pPr>
              <w:rPr>
                <w:rFonts w:cstheme="minorHAnsi"/>
              </w:rPr>
            </w:pPr>
            <w:r w:rsidRPr="001F3797">
              <w:rPr>
                <w:rFonts w:cstheme="minorHAnsi"/>
              </w:rPr>
              <w:t xml:space="preserve">Total </w:t>
            </w:r>
            <w:r w:rsidR="00A91935">
              <w:rPr>
                <w:rFonts w:cstheme="minorHAnsi"/>
              </w:rPr>
              <w:t>quantity of drugs dispensed in the drug group.</w:t>
            </w:r>
          </w:p>
          <w:p w14:paraId="3F055A14" w14:textId="77777777" w:rsidR="00C96ED3" w:rsidRPr="001F3797" w:rsidRDefault="00C96ED3" w:rsidP="0002363D">
            <w:pPr>
              <w:rPr>
                <w:rFonts w:cstheme="minorHAnsi"/>
              </w:rPr>
            </w:pPr>
          </w:p>
        </w:tc>
      </w:tr>
      <w:tr w:rsidR="00C96ED3" w:rsidRPr="001F3797" w14:paraId="5DB72D14" w14:textId="77777777" w:rsidTr="0002363D">
        <w:trPr>
          <w:trHeight w:val="1266"/>
        </w:trPr>
        <w:tc>
          <w:tcPr>
            <w:tcW w:w="941" w:type="pct"/>
          </w:tcPr>
          <w:p w14:paraId="5B3EC40E" w14:textId="1C29EE6F" w:rsidR="00C96ED3" w:rsidRPr="001F3797" w:rsidRDefault="00AD571B" w:rsidP="0002363D">
            <w:pPr>
              <w:rPr>
                <w:rFonts w:cstheme="minorHAnsi"/>
              </w:rPr>
            </w:pPr>
            <w:r w:rsidRPr="001F3797">
              <w:rPr>
                <w:rFonts w:cstheme="minorHAnsi"/>
              </w:rPr>
              <w:t xml:space="preserve">Rationale </w:t>
            </w:r>
            <w:r>
              <w:rPr>
                <w:rFonts w:cstheme="minorHAnsi"/>
              </w:rPr>
              <w:t>/ Comments</w:t>
            </w:r>
          </w:p>
        </w:tc>
        <w:tc>
          <w:tcPr>
            <w:tcW w:w="4059" w:type="pct"/>
          </w:tcPr>
          <w:p w14:paraId="7D32D53E" w14:textId="77777777" w:rsidR="00C96ED3" w:rsidRDefault="004472C7" w:rsidP="0002363D">
            <w:pPr>
              <w:rPr>
                <w:rFonts w:cstheme="minorHAnsi"/>
              </w:rPr>
            </w:pPr>
            <w:r>
              <w:rPr>
                <w:rFonts w:cstheme="minorHAnsi"/>
              </w:rPr>
              <w:t>This figure shows the total scale of oversupply and will more quickly respond to the impact of an intervention.</w:t>
            </w:r>
          </w:p>
          <w:p w14:paraId="7D76B232" w14:textId="77777777" w:rsidR="004472C7" w:rsidRDefault="004472C7" w:rsidP="0002363D">
            <w:pPr>
              <w:rPr>
                <w:rFonts w:cstheme="minorHAnsi"/>
              </w:rPr>
            </w:pPr>
          </w:p>
          <w:p w14:paraId="7C80211A" w14:textId="59B43F04" w:rsidR="004472C7" w:rsidRDefault="004472C7" w:rsidP="004472C7">
            <w:pPr>
              <w:rPr>
                <w:rFonts w:cstheme="minorHAnsi"/>
              </w:rPr>
            </w:pPr>
            <w:r>
              <w:rPr>
                <w:rFonts w:cstheme="minorHAnsi"/>
              </w:rPr>
              <w:t>For example, patient A is the only oversupplied patient of aspirin in Practice 1. Patient A receives a repeat script of 50 aspirin per month for 12 months (total rolling: 600) and as an intervention in January, the patient has the repeat prescription removed. In the first months after intervention until June the patient will still flag as oversupplied. For the practice, the oversupplied quantity will continue to reduce each month immediately following the intervention (January: 208, February: 158, March: 108, April: 58, May: 8, June: 0).</w:t>
            </w:r>
          </w:p>
          <w:p w14:paraId="71E13839" w14:textId="77777777" w:rsidR="004472C7" w:rsidRDefault="004472C7" w:rsidP="004472C7">
            <w:pPr>
              <w:rPr>
                <w:rFonts w:cstheme="minorHAnsi"/>
              </w:rPr>
            </w:pPr>
          </w:p>
          <w:p w14:paraId="343C4385" w14:textId="52E69294" w:rsidR="000F43AA" w:rsidRDefault="004472C7" w:rsidP="000F43AA">
            <w:pPr>
              <w:rPr>
                <w:rFonts w:cstheme="minorHAnsi"/>
              </w:rPr>
            </w:pPr>
            <w:r>
              <w:rPr>
                <w:rFonts w:cstheme="minorHAnsi"/>
              </w:rPr>
              <w:t>Patient B is the only patient oversupplied aspirin in Practice 2. Patient B receives a repeat script of 50 aspirin per month for the 12 month (total rolling: 600) and as an intervention in January, the patient’s script is corrected to 28. The patient will continue to flag as overprescribed until November</w:t>
            </w:r>
            <w:r w:rsidR="000F43AA">
              <w:rPr>
                <w:rFonts w:cstheme="minorHAnsi"/>
              </w:rPr>
              <w:t>, however for the practice, the oversupplied quantity will continue to reduce each month immediately following the intervention (January: 208, February: 186, March: 164, April: 142, May: 120, June: 98, July: 76, August: 54, September: 32, October: 10, November: 0).</w:t>
            </w:r>
          </w:p>
          <w:p w14:paraId="5707C7C4" w14:textId="06F714F8" w:rsidR="004472C7" w:rsidRDefault="004472C7" w:rsidP="004472C7">
            <w:pPr>
              <w:rPr>
                <w:rFonts w:cstheme="minorHAnsi"/>
              </w:rPr>
            </w:pPr>
          </w:p>
          <w:p w14:paraId="525CEBE7" w14:textId="1CA3C65F" w:rsidR="000F43AA" w:rsidRDefault="000F43AA" w:rsidP="000F43AA">
            <w:pPr>
              <w:rPr>
                <w:rFonts w:cstheme="minorHAnsi"/>
              </w:rPr>
            </w:pPr>
            <w:r>
              <w:rPr>
                <w:rFonts w:cstheme="minorHAnsi"/>
              </w:rPr>
              <w:t>Patient C is the only patient oversupplied aspirin in Practice 3. Patient C received an acute script for 600 aspirin in January. The quantity over threshold will continue to show 208 over threshold until the following January.</w:t>
            </w:r>
          </w:p>
          <w:p w14:paraId="3FB4C71A" w14:textId="77777777" w:rsidR="004472C7" w:rsidRDefault="004472C7" w:rsidP="0002363D">
            <w:pPr>
              <w:rPr>
                <w:rFonts w:cstheme="minorHAnsi"/>
              </w:rPr>
            </w:pPr>
          </w:p>
          <w:p w14:paraId="11F42189" w14:textId="24E5B2BD" w:rsidR="00AD571B" w:rsidRPr="001F3797" w:rsidRDefault="00AD571B" w:rsidP="0002363D">
            <w:pPr>
              <w:rPr>
                <w:rFonts w:cstheme="minorHAnsi"/>
              </w:rPr>
            </w:pPr>
            <w:r>
              <w:rPr>
                <w:rFonts w:cstheme="minorHAnsi"/>
              </w:rPr>
              <w:t>This metric will show immediate impacts of interventions, however long-term changes and improvements to patient safety are better represented through % over threshold patients.</w:t>
            </w:r>
          </w:p>
        </w:tc>
      </w:tr>
    </w:tbl>
    <w:p w14:paraId="0D785ADE" w14:textId="77777777" w:rsidR="00C96ED3" w:rsidRDefault="00C96ED3" w:rsidP="00C96ED3"/>
    <w:p w14:paraId="1E9AE5B8" w14:textId="12EBDA47" w:rsidR="00C96ED3" w:rsidRPr="00431E28" w:rsidRDefault="00C96ED3" w:rsidP="00C96ED3">
      <w:pPr>
        <w:pStyle w:val="Heading2"/>
      </w:pPr>
      <w:bookmarkStart w:id="17" w:name="_Toc165029578"/>
      <w:r>
        <w:t>Threshold quantity</w:t>
      </w:r>
      <w:bookmarkEnd w:id="17"/>
    </w:p>
    <w:tbl>
      <w:tblPr>
        <w:tblStyle w:val="TableGrid"/>
        <w:tblW w:w="5000" w:type="pct"/>
        <w:tblLayout w:type="fixed"/>
        <w:tblLook w:val="04A0" w:firstRow="1" w:lastRow="0" w:firstColumn="1" w:lastColumn="0" w:noHBand="0" w:noVBand="1"/>
      </w:tblPr>
      <w:tblGrid>
        <w:gridCol w:w="1697"/>
        <w:gridCol w:w="7319"/>
      </w:tblGrid>
      <w:tr w:rsidR="00C96ED3" w:rsidRPr="001F3797" w14:paraId="050BF70E" w14:textId="77777777" w:rsidTr="0002363D">
        <w:tc>
          <w:tcPr>
            <w:tcW w:w="941" w:type="pct"/>
          </w:tcPr>
          <w:p w14:paraId="376B8F72" w14:textId="77777777" w:rsidR="00C96ED3" w:rsidRPr="001F3797" w:rsidRDefault="00C96ED3" w:rsidP="0002363D">
            <w:pPr>
              <w:rPr>
                <w:rFonts w:cstheme="minorHAnsi"/>
              </w:rPr>
            </w:pPr>
            <w:r w:rsidRPr="001F3797">
              <w:rPr>
                <w:rFonts w:cstheme="minorHAnsi"/>
              </w:rPr>
              <w:t>Title</w:t>
            </w:r>
          </w:p>
        </w:tc>
        <w:tc>
          <w:tcPr>
            <w:tcW w:w="4059" w:type="pct"/>
          </w:tcPr>
          <w:p w14:paraId="346AECD2" w14:textId="2A37E3B7" w:rsidR="00C96ED3" w:rsidRPr="001F3797" w:rsidRDefault="00A91935" w:rsidP="0002363D">
            <w:pPr>
              <w:rPr>
                <w:rFonts w:cstheme="minorHAnsi"/>
              </w:rPr>
            </w:pPr>
            <w:r>
              <w:rPr>
                <w:rFonts w:cstheme="minorHAnsi"/>
              </w:rPr>
              <w:t>Threshold quantity</w:t>
            </w:r>
          </w:p>
        </w:tc>
      </w:tr>
      <w:tr w:rsidR="00C96ED3" w:rsidRPr="001F3797" w14:paraId="13D5CBCC" w14:textId="77777777" w:rsidTr="0002363D">
        <w:tc>
          <w:tcPr>
            <w:tcW w:w="941" w:type="pct"/>
          </w:tcPr>
          <w:p w14:paraId="3711817E" w14:textId="77777777" w:rsidR="00C96ED3" w:rsidRPr="001F3797" w:rsidRDefault="00C96ED3" w:rsidP="0002363D">
            <w:pPr>
              <w:rPr>
                <w:rFonts w:cstheme="minorHAnsi"/>
              </w:rPr>
            </w:pPr>
            <w:r w:rsidRPr="001F3797">
              <w:rPr>
                <w:rFonts w:cstheme="minorHAnsi"/>
              </w:rPr>
              <w:t>Description</w:t>
            </w:r>
          </w:p>
        </w:tc>
        <w:tc>
          <w:tcPr>
            <w:tcW w:w="4059" w:type="pct"/>
          </w:tcPr>
          <w:p w14:paraId="35A19B76" w14:textId="51B72AA6" w:rsidR="00C96ED3" w:rsidRPr="001F3797" w:rsidRDefault="00964837" w:rsidP="0002363D">
            <w:pPr>
              <w:rPr>
                <w:rFonts w:cstheme="minorHAnsi"/>
              </w:rPr>
            </w:pPr>
            <w:r>
              <w:rPr>
                <w:rFonts w:cstheme="minorHAnsi"/>
              </w:rPr>
              <w:t>Defined threshold per drug group.</w:t>
            </w:r>
          </w:p>
        </w:tc>
      </w:tr>
      <w:tr w:rsidR="00C96ED3" w:rsidRPr="001F3797" w14:paraId="06ED78CD" w14:textId="77777777" w:rsidTr="0002363D">
        <w:tc>
          <w:tcPr>
            <w:tcW w:w="941" w:type="pct"/>
          </w:tcPr>
          <w:p w14:paraId="0BF800FE" w14:textId="77777777" w:rsidR="00C96ED3" w:rsidRPr="001F3797" w:rsidRDefault="00C96ED3" w:rsidP="0002363D">
            <w:pPr>
              <w:rPr>
                <w:rFonts w:cstheme="minorHAnsi"/>
              </w:rPr>
            </w:pPr>
            <w:r w:rsidRPr="001F3797">
              <w:rPr>
                <w:rFonts w:cstheme="minorHAnsi"/>
              </w:rPr>
              <w:t>Numerator</w:t>
            </w:r>
          </w:p>
        </w:tc>
        <w:tc>
          <w:tcPr>
            <w:tcW w:w="4059" w:type="pct"/>
          </w:tcPr>
          <w:p w14:paraId="03A909E6" w14:textId="0185AB1D" w:rsidR="00C96ED3" w:rsidRPr="001F3797" w:rsidRDefault="00396A5D" w:rsidP="0002363D">
            <w:pPr>
              <w:rPr>
                <w:rFonts w:cstheme="minorHAnsi"/>
              </w:rPr>
            </w:pPr>
            <w:r>
              <w:rPr>
                <w:rFonts w:cstheme="minorHAnsi"/>
              </w:rPr>
              <w:t>The maximum quantity of all prescribing supplied to a patient within the drug group within the 12-month rolling period which is considered appropriate supply. Any patient who exceeds this is considered oversupplied.</w:t>
            </w:r>
          </w:p>
        </w:tc>
      </w:tr>
      <w:tr w:rsidR="00C96ED3" w:rsidRPr="001F3797" w14:paraId="1CC26B67" w14:textId="77777777" w:rsidTr="0002363D">
        <w:tc>
          <w:tcPr>
            <w:tcW w:w="941" w:type="pct"/>
          </w:tcPr>
          <w:p w14:paraId="5F400572" w14:textId="77777777" w:rsidR="00C96ED3" w:rsidRPr="001F3797" w:rsidRDefault="00C96ED3" w:rsidP="0002363D">
            <w:pPr>
              <w:rPr>
                <w:rFonts w:cstheme="minorHAnsi"/>
              </w:rPr>
            </w:pPr>
            <w:r w:rsidRPr="001F3797">
              <w:rPr>
                <w:rFonts w:cstheme="minorHAnsi"/>
              </w:rPr>
              <w:lastRenderedPageBreak/>
              <w:t xml:space="preserve">Denominator </w:t>
            </w:r>
          </w:p>
        </w:tc>
        <w:tc>
          <w:tcPr>
            <w:tcW w:w="4059" w:type="pct"/>
          </w:tcPr>
          <w:p w14:paraId="30CF537B" w14:textId="46322C65" w:rsidR="00C96ED3" w:rsidRPr="001F3797" w:rsidRDefault="00B35E46" w:rsidP="00396A5D">
            <w:pPr>
              <w:rPr>
                <w:rFonts w:cstheme="minorHAnsi"/>
              </w:rPr>
            </w:pPr>
            <w:r>
              <w:rPr>
                <w:rFonts w:cstheme="minorHAnsi"/>
              </w:rPr>
              <w:t xml:space="preserve">No denominator – </w:t>
            </w:r>
            <w:r w:rsidR="00060721">
              <w:rPr>
                <w:rFonts w:cstheme="minorHAnsi"/>
              </w:rPr>
              <w:t>threshold only</w:t>
            </w:r>
          </w:p>
        </w:tc>
      </w:tr>
      <w:tr w:rsidR="00C96ED3" w:rsidRPr="001F3797" w14:paraId="4B26DE11" w14:textId="77777777" w:rsidTr="0002363D">
        <w:trPr>
          <w:trHeight w:val="1266"/>
        </w:trPr>
        <w:tc>
          <w:tcPr>
            <w:tcW w:w="941" w:type="pct"/>
          </w:tcPr>
          <w:p w14:paraId="699F2076" w14:textId="16805541" w:rsidR="00C96ED3" w:rsidRPr="001F3797" w:rsidRDefault="00AD571B" w:rsidP="0002363D">
            <w:pPr>
              <w:rPr>
                <w:rFonts w:cstheme="minorHAnsi"/>
              </w:rPr>
            </w:pPr>
            <w:r w:rsidRPr="001F3797">
              <w:rPr>
                <w:rFonts w:cstheme="minorHAnsi"/>
              </w:rPr>
              <w:t xml:space="preserve">Rationale </w:t>
            </w:r>
            <w:r>
              <w:rPr>
                <w:rFonts w:cstheme="minorHAnsi"/>
              </w:rPr>
              <w:t>/ Comments</w:t>
            </w:r>
          </w:p>
        </w:tc>
        <w:tc>
          <w:tcPr>
            <w:tcW w:w="4059" w:type="pct"/>
          </w:tcPr>
          <w:p w14:paraId="17F758E4" w14:textId="77777777" w:rsidR="000F43AA" w:rsidRDefault="000F43AA" w:rsidP="0002363D">
            <w:pPr>
              <w:rPr>
                <w:rFonts w:cstheme="minorHAnsi"/>
              </w:rPr>
            </w:pPr>
            <w:r>
              <w:rPr>
                <w:rFonts w:cstheme="minorHAnsi"/>
              </w:rPr>
              <w:t xml:space="preserve">The threshold has been set to show how much of a category we would typically expect a single patient to receive within a 12-month rolling period. There may be instances where the patient has received </w:t>
            </w:r>
            <w:proofErr w:type="gramStart"/>
            <w:r>
              <w:rPr>
                <w:rFonts w:cstheme="minorHAnsi"/>
              </w:rPr>
              <w:t>in excess of</w:t>
            </w:r>
            <w:proofErr w:type="gramEnd"/>
            <w:r>
              <w:rPr>
                <w:rFonts w:cstheme="minorHAnsi"/>
              </w:rPr>
              <w:t xml:space="preserve"> this for legitimate reasons, </w:t>
            </w:r>
            <w:proofErr w:type="spellStart"/>
            <w:r>
              <w:rPr>
                <w:rFonts w:cstheme="minorHAnsi"/>
              </w:rPr>
              <w:t>eg</w:t>
            </w:r>
            <w:proofErr w:type="spellEnd"/>
            <w:r>
              <w:rPr>
                <w:rFonts w:cstheme="minorHAnsi"/>
              </w:rPr>
              <w:t xml:space="preserve"> a patient on the maximum monthly prescription requests a move to a 6-month prescription.</w:t>
            </w:r>
          </w:p>
          <w:p w14:paraId="0921D344" w14:textId="77777777" w:rsidR="000F43AA" w:rsidRDefault="000F43AA" w:rsidP="0002363D">
            <w:pPr>
              <w:rPr>
                <w:rFonts w:cstheme="minorHAnsi"/>
              </w:rPr>
            </w:pPr>
          </w:p>
          <w:p w14:paraId="18AD4B1A" w14:textId="600EBF05" w:rsidR="000F43AA" w:rsidRPr="001F3797" w:rsidRDefault="000F43AA" w:rsidP="0002363D">
            <w:pPr>
              <w:rPr>
                <w:rFonts w:cstheme="minorHAnsi"/>
              </w:rPr>
            </w:pPr>
            <w:r>
              <w:rPr>
                <w:rFonts w:cstheme="minorHAnsi"/>
              </w:rPr>
              <w:t>The threshold has been set as guidance and should be treated as highlighting patients who may be at risk.</w:t>
            </w:r>
          </w:p>
        </w:tc>
      </w:tr>
    </w:tbl>
    <w:p w14:paraId="4AAE5FB8" w14:textId="77777777" w:rsidR="00C96ED3" w:rsidRDefault="00C96ED3" w:rsidP="00C96ED3"/>
    <w:p w14:paraId="41A43B52" w14:textId="77777777" w:rsidR="00403661" w:rsidRDefault="00403661" w:rsidP="00C96ED3"/>
    <w:p w14:paraId="57D6AF3F" w14:textId="77777777" w:rsidR="00403661" w:rsidRDefault="00403661" w:rsidP="00C96ED3"/>
    <w:p w14:paraId="7D218DE9" w14:textId="25762789" w:rsidR="00C96ED3" w:rsidRPr="00431E28" w:rsidRDefault="00C96ED3" w:rsidP="00C96ED3">
      <w:pPr>
        <w:pStyle w:val="Heading2"/>
      </w:pPr>
      <w:bookmarkStart w:id="18" w:name="_Toc165029579"/>
      <w:r>
        <w:t>Highest number of quantities prescribed to an individual patient over 12 months</w:t>
      </w:r>
      <w:bookmarkEnd w:id="18"/>
    </w:p>
    <w:tbl>
      <w:tblPr>
        <w:tblStyle w:val="TableGrid"/>
        <w:tblW w:w="5000" w:type="pct"/>
        <w:tblLayout w:type="fixed"/>
        <w:tblLook w:val="04A0" w:firstRow="1" w:lastRow="0" w:firstColumn="1" w:lastColumn="0" w:noHBand="0" w:noVBand="1"/>
      </w:tblPr>
      <w:tblGrid>
        <w:gridCol w:w="1697"/>
        <w:gridCol w:w="7319"/>
      </w:tblGrid>
      <w:tr w:rsidR="00C96ED3" w:rsidRPr="001F3797" w14:paraId="276D3E85" w14:textId="77777777" w:rsidTr="0002363D">
        <w:tc>
          <w:tcPr>
            <w:tcW w:w="941" w:type="pct"/>
          </w:tcPr>
          <w:p w14:paraId="0B4E25B9" w14:textId="77777777" w:rsidR="00C96ED3" w:rsidRPr="001F3797" w:rsidRDefault="00C96ED3" w:rsidP="0002363D">
            <w:pPr>
              <w:rPr>
                <w:rFonts w:cstheme="minorHAnsi"/>
              </w:rPr>
            </w:pPr>
            <w:r w:rsidRPr="001F3797">
              <w:rPr>
                <w:rFonts w:cstheme="minorHAnsi"/>
              </w:rPr>
              <w:t>Title</w:t>
            </w:r>
          </w:p>
        </w:tc>
        <w:tc>
          <w:tcPr>
            <w:tcW w:w="4059" w:type="pct"/>
          </w:tcPr>
          <w:p w14:paraId="5009EA45" w14:textId="5719A0C3" w:rsidR="00C96ED3" w:rsidRPr="001F3797" w:rsidRDefault="00964837" w:rsidP="0002363D">
            <w:pPr>
              <w:rPr>
                <w:rFonts w:cstheme="minorHAnsi"/>
              </w:rPr>
            </w:pPr>
            <w:r w:rsidRPr="00964837">
              <w:rPr>
                <w:rFonts w:cstheme="minorHAnsi"/>
              </w:rPr>
              <w:t>Highest number of quantities prescribed to an individual patient over 12 months</w:t>
            </w:r>
          </w:p>
        </w:tc>
      </w:tr>
      <w:tr w:rsidR="00C96ED3" w:rsidRPr="001F3797" w14:paraId="3F81098F" w14:textId="77777777" w:rsidTr="0002363D">
        <w:tc>
          <w:tcPr>
            <w:tcW w:w="941" w:type="pct"/>
          </w:tcPr>
          <w:p w14:paraId="25044BE9" w14:textId="77777777" w:rsidR="00C96ED3" w:rsidRPr="001F3797" w:rsidRDefault="00C96ED3" w:rsidP="0002363D">
            <w:pPr>
              <w:rPr>
                <w:rFonts w:cstheme="minorHAnsi"/>
              </w:rPr>
            </w:pPr>
            <w:r w:rsidRPr="001F3797">
              <w:rPr>
                <w:rFonts w:cstheme="minorHAnsi"/>
              </w:rPr>
              <w:t>Description</w:t>
            </w:r>
          </w:p>
        </w:tc>
        <w:tc>
          <w:tcPr>
            <w:tcW w:w="4059" w:type="pct"/>
          </w:tcPr>
          <w:p w14:paraId="30E0EA16" w14:textId="5FF2676B" w:rsidR="00C96ED3" w:rsidRPr="001F3797" w:rsidRDefault="00964837" w:rsidP="0002363D">
            <w:pPr>
              <w:rPr>
                <w:rFonts w:cstheme="minorHAnsi"/>
              </w:rPr>
            </w:pPr>
            <w:r>
              <w:rPr>
                <w:rFonts w:cstheme="minorHAnsi"/>
              </w:rPr>
              <w:t>The maximum prescribing to an individual patient within the drug group.</w:t>
            </w:r>
          </w:p>
        </w:tc>
      </w:tr>
      <w:tr w:rsidR="00C96ED3" w:rsidRPr="001F3797" w14:paraId="5718A584" w14:textId="77777777" w:rsidTr="0002363D">
        <w:tc>
          <w:tcPr>
            <w:tcW w:w="941" w:type="pct"/>
          </w:tcPr>
          <w:p w14:paraId="54589C4C" w14:textId="77777777" w:rsidR="00C96ED3" w:rsidRPr="001F3797" w:rsidRDefault="00C96ED3" w:rsidP="0002363D">
            <w:pPr>
              <w:rPr>
                <w:rFonts w:cstheme="minorHAnsi"/>
              </w:rPr>
            </w:pPr>
            <w:r w:rsidRPr="001F3797">
              <w:rPr>
                <w:rFonts w:cstheme="minorHAnsi"/>
              </w:rPr>
              <w:t>Numerator</w:t>
            </w:r>
          </w:p>
        </w:tc>
        <w:tc>
          <w:tcPr>
            <w:tcW w:w="4059" w:type="pct"/>
          </w:tcPr>
          <w:p w14:paraId="6670F848" w14:textId="19DE7A79" w:rsidR="00C96ED3" w:rsidRPr="001F3797" w:rsidRDefault="00964837" w:rsidP="0002363D">
            <w:pPr>
              <w:rPr>
                <w:rFonts w:cstheme="minorHAnsi"/>
              </w:rPr>
            </w:pPr>
            <w:r>
              <w:rPr>
                <w:rFonts w:cstheme="minorHAnsi"/>
              </w:rPr>
              <w:t>The highest quantity dispensed to a single patient across the rolling 12-month period.</w:t>
            </w:r>
          </w:p>
          <w:p w14:paraId="16F1D8D8" w14:textId="77777777" w:rsidR="00C96ED3" w:rsidRPr="001F3797" w:rsidRDefault="00C96ED3" w:rsidP="0002363D">
            <w:pPr>
              <w:rPr>
                <w:rFonts w:cstheme="minorHAnsi"/>
              </w:rPr>
            </w:pPr>
          </w:p>
        </w:tc>
      </w:tr>
      <w:tr w:rsidR="00C96ED3" w:rsidRPr="001F3797" w14:paraId="0952E310" w14:textId="77777777" w:rsidTr="0002363D">
        <w:tc>
          <w:tcPr>
            <w:tcW w:w="941" w:type="pct"/>
          </w:tcPr>
          <w:p w14:paraId="6792AAFE" w14:textId="77777777" w:rsidR="00C96ED3" w:rsidRPr="001F3797" w:rsidRDefault="00C96ED3" w:rsidP="0002363D">
            <w:pPr>
              <w:rPr>
                <w:rFonts w:cstheme="minorHAnsi"/>
              </w:rPr>
            </w:pPr>
            <w:r w:rsidRPr="001F3797">
              <w:rPr>
                <w:rFonts w:cstheme="minorHAnsi"/>
              </w:rPr>
              <w:t xml:space="preserve">Denominator </w:t>
            </w:r>
          </w:p>
        </w:tc>
        <w:tc>
          <w:tcPr>
            <w:tcW w:w="4059" w:type="pct"/>
          </w:tcPr>
          <w:p w14:paraId="7D9647F1" w14:textId="0F210F48" w:rsidR="00C96ED3" w:rsidRPr="001F3797" w:rsidRDefault="00964837" w:rsidP="00964837">
            <w:pPr>
              <w:rPr>
                <w:rFonts w:cstheme="minorHAnsi"/>
              </w:rPr>
            </w:pPr>
            <w:r>
              <w:rPr>
                <w:rFonts w:cstheme="minorHAnsi"/>
              </w:rPr>
              <w:t>No denominator</w:t>
            </w:r>
          </w:p>
        </w:tc>
      </w:tr>
      <w:tr w:rsidR="00C96ED3" w:rsidRPr="001F3797" w14:paraId="77AFDD02" w14:textId="77777777" w:rsidTr="0002363D">
        <w:trPr>
          <w:trHeight w:val="1266"/>
        </w:trPr>
        <w:tc>
          <w:tcPr>
            <w:tcW w:w="941" w:type="pct"/>
          </w:tcPr>
          <w:p w14:paraId="4BDD9B3A" w14:textId="00385D8A" w:rsidR="00C96ED3" w:rsidRPr="001F3797" w:rsidRDefault="00AD571B" w:rsidP="0002363D">
            <w:pPr>
              <w:rPr>
                <w:rFonts w:cstheme="minorHAnsi"/>
              </w:rPr>
            </w:pPr>
            <w:r w:rsidRPr="001F3797">
              <w:rPr>
                <w:rFonts w:cstheme="minorHAnsi"/>
              </w:rPr>
              <w:t xml:space="preserve">Rationale </w:t>
            </w:r>
            <w:r>
              <w:rPr>
                <w:rFonts w:cstheme="minorHAnsi"/>
              </w:rPr>
              <w:t>/ Comments</w:t>
            </w:r>
          </w:p>
        </w:tc>
        <w:tc>
          <w:tcPr>
            <w:tcW w:w="4059" w:type="pct"/>
          </w:tcPr>
          <w:p w14:paraId="7DCA3586" w14:textId="77777777" w:rsidR="00C96ED3" w:rsidRDefault="000F43AA" w:rsidP="0002363D">
            <w:pPr>
              <w:rPr>
                <w:rFonts w:cstheme="minorHAnsi"/>
              </w:rPr>
            </w:pPr>
            <w:r>
              <w:rPr>
                <w:rFonts w:cstheme="minorHAnsi"/>
              </w:rPr>
              <w:t xml:space="preserve">This metric shows the maximum prescribing a single patient within the geography has received – this is to give contextualisation </w:t>
            </w:r>
            <w:r w:rsidR="005C7881">
              <w:rPr>
                <w:rFonts w:cstheme="minorHAnsi"/>
              </w:rPr>
              <w:t>beyond what is available in the distribution chart to show the scale of excess.</w:t>
            </w:r>
          </w:p>
          <w:p w14:paraId="73B9D755" w14:textId="77777777" w:rsidR="005C7881" w:rsidRDefault="005C7881" w:rsidP="0002363D">
            <w:pPr>
              <w:rPr>
                <w:rFonts w:cstheme="minorHAnsi"/>
              </w:rPr>
            </w:pPr>
          </w:p>
          <w:p w14:paraId="0F98E5AD" w14:textId="7341D2CD" w:rsidR="005C7881" w:rsidRPr="001F3797" w:rsidRDefault="005C7881" w:rsidP="0002363D">
            <w:pPr>
              <w:rPr>
                <w:rFonts w:cstheme="minorHAnsi"/>
              </w:rPr>
            </w:pPr>
            <w:r>
              <w:rPr>
                <w:rFonts w:cstheme="minorHAnsi"/>
              </w:rPr>
              <w:t>Higher oversupply quantity gives greater risk to the patient and/or greater waste.</w:t>
            </w:r>
          </w:p>
        </w:tc>
      </w:tr>
    </w:tbl>
    <w:p w14:paraId="649BDBBB" w14:textId="77777777" w:rsidR="00C96ED3" w:rsidRDefault="00C96ED3" w:rsidP="00C96ED3"/>
    <w:p w14:paraId="79D768AE" w14:textId="30BB0005" w:rsidR="00C96ED3" w:rsidRPr="00431E28" w:rsidRDefault="00C96ED3" w:rsidP="00C96ED3">
      <w:pPr>
        <w:pStyle w:val="Heading2"/>
      </w:pPr>
      <w:bookmarkStart w:id="19" w:name="_Toc165029580"/>
      <w:r>
        <w:t xml:space="preserve">Average </w:t>
      </w:r>
      <w:r w:rsidR="004805E9">
        <w:t>quantity above threshold over 12 months</w:t>
      </w:r>
      <w:bookmarkEnd w:id="19"/>
      <w:r>
        <w:t xml:space="preserve"> </w:t>
      </w:r>
    </w:p>
    <w:tbl>
      <w:tblPr>
        <w:tblStyle w:val="TableGrid"/>
        <w:tblW w:w="5000" w:type="pct"/>
        <w:tblLayout w:type="fixed"/>
        <w:tblLook w:val="04A0" w:firstRow="1" w:lastRow="0" w:firstColumn="1" w:lastColumn="0" w:noHBand="0" w:noVBand="1"/>
      </w:tblPr>
      <w:tblGrid>
        <w:gridCol w:w="1697"/>
        <w:gridCol w:w="7319"/>
      </w:tblGrid>
      <w:tr w:rsidR="00C96ED3" w:rsidRPr="001F3797" w14:paraId="6B730E90" w14:textId="77777777" w:rsidTr="0002363D">
        <w:tc>
          <w:tcPr>
            <w:tcW w:w="941" w:type="pct"/>
          </w:tcPr>
          <w:p w14:paraId="57D7DD0F" w14:textId="77777777" w:rsidR="00C96ED3" w:rsidRPr="001F3797" w:rsidRDefault="00C96ED3" w:rsidP="0002363D">
            <w:pPr>
              <w:rPr>
                <w:rFonts w:cstheme="minorHAnsi"/>
              </w:rPr>
            </w:pPr>
            <w:r w:rsidRPr="001F3797">
              <w:rPr>
                <w:rFonts w:cstheme="minorHAnsi"/>
              </w:rPr>
              <w:t>Title</w:t>
            </w:r>
          </w:p>
        </w:tc>
        <w:tc>
          <w:tcPr>
            <w:tcW w:w="4059" w:type="pct"/>
          </w:tcPr>
          <w:p w14:paraId="0F48806A" w14:textId="049598D4" w:rsidR="00C96ED3" w:rsidRPr="001F3797" w:rsidRDefault="00964837" w:rsidP="0002363D">
            <w:pPr>
              <w:rPr>
                <w:rFonts w:cstheme="minorHAnsi"/>
              </w:rPr>
            </w:pPr>
            <w:r>
              <w:rPr>
                <w:rFonts w:cstheme="minorHAnsi"/>
              </w:rPr>
              <w:t>Average quantity above threshold over 12 months</w:t>
            </w:r>
          </w:p>
        </w:tc>
      </w:tr>
      <w:tr w:rsidR="00C96ED3" w:rsidRPr="001F3797" w14:paraId="00CD6553" w14:textId="77777777" w:rsidTr="0002363D">
        <w:tc>
          <w:tcPr>
            <w:tcW w:w="941" w:type="pct"/>
          </w:tcPr>
          <w:p w14:paraId="3802A306" w14:textId="77777777" w:rsidR="00C96ED3" w:rsidRPr="001F3797" w:rsidRDefault="00C96ED3" w:rsidP="0002363D">
            <w:pPr>
              <w:rPr>
                <w:rFonts w:cstheme="minorHAnsi"/>
              </w:rPr>
            </w:pPr>
            <w:r w:rsidRPr="001F3797">
              <w:rPr>
                <w:rFonts w:cstheme="minorHAnsi"/>
              </w:rPr>
              <w:t>Description</w:t>
            </w:r>
          </w:p>
        </w:tc>
        <w:tc>
          <w:tcPr>
            <w:tcW w:w="4059" w:type="pct"/>
          </w:tcPr>
          <w:p w14:paraId="5834E8A2" w14:textId="095A4422" w:rsidR="00C96ED3" w:rsidRPr="001F3797" w:rsidRDefault="00964837" w:rsidP="0002363D">
            <w:pPr>
              <w:rPr>
                <w:rFonts w:cstheme="minorHAnsi"/>
              </w:rPr>
            </w:pPr>
            <w:r>
              <w:rPr>
                <w:rFonts w:cstheme="minorHAnsi"/>
              </w:rPr>
              <w:t>The average excess supply given to all patients who have received an oversupply.</w:t>
            </w:r>
          </w:p>
        </w:tc>
      </w:tr>
      <w:tr w:rsidR="00C96ED3" w:rsidRPr="001F3797" w14:paraId="4B37EECF" w14:textId="77777777" w:rsidTr="0002363D">
        <w:tc>
          <w:tcPr>
            <w:tcW w:w="941" w:type="pct"/>
          </w:tcPr>
          <w:p w14:paraId="62B4C5CA" w14:textId="77777777" w:rsidR="00C96ED3" w:rsidRPr="001F3797" w:rsidRDefault="00C96ED3" w:rsidP="0002363D">
            <w:pPr>
              <w:rPr>
                <w:rFonts w:cstheme="minorHAnsi"/>
              </w:rPr>
            </w:pPr>
            <w:r w:rsidRPr="001F3797">
              <w:rPr>
                <w:rFonts w:cstheme="minorHAnsi"/>
              </w:rPr>
              <w:t>Numerator</w:t>
            </w:r>
          </w:p>
        </w:tc>
        <w:tc>
          <w:tcPr>
            <w:tcW w:w="4059" w:type="pct"/>
          </w:tcPr>
          <w:p w14:paraId="4C14CFC4" w14:textId="357A0C38" w:rsidR="00C96ED3" w:rsidRPr="001F3797" w:rsidRDefault="00F63EF9" w:rsidP="0002363D">
            <w:pPr>
              <w:rPr>
                <w:rFonts w:cstheme="minorHAnsi"/>
              </w:rPr>
            </w:pPr>
            <w:r>
              <w:rPr>
                <w:rFonts w:cstheme="minorHAnsi"/>
              </w:rPr>
              <w:t>Total oversupplied quantity within the drug group across the 12</w:t>
            </w:r>
            <w:r w:rsidR="00F22AAA">
              <w:rPr>
                <w:rFonts w:cstheme="minorHAnsi"/>
              </w:rPr>
              <w:t>-</w:t>
            </w:r>
            <w:r>
              <w:rPr>
                <w:rFonts w:cstheme="minorHAnsi"/>
              </w:rPr>
              <w:t>month rolling period.</w:t>
            </w:r>
          </w:p>
          <w:p w14:paraId="55738165" w14:textId="77777777" w:rsidR="00C96ED3" w:rsidRPr="001F3797" w:rsidRDefault="00C96ED3" w:rsidP="0002363D">
            <w:pPr>
              <w:rPr>
                <w:rFonts w:cstheme="minorHAnsi"/>
              </w:rPr>
            </w:pPr>
          </w:p>
        </w:tc>
      </w:tr>
      <w:tr w:rsidR="00C96ED3" w:rsidRPr="001F3797" w14:paraId="10E18B87" w14:textId="77777777" w:rsidTr="0002363D">
        <w:tc>
          <w:tcPr>
            <w:tcW w:w="941" w:type="pct"/>
          </w:tcPr>
          <w:p w14:paraId="3BD1635A" w14:textId="77777777" w:rsidR="00C96ED3" w:rsidRPr="001F3797" w:rsidRDefault="00C96ED3" w:rsidP="0002363D">
            <w:pPr>
              <w:rPr>
                <w:rFonts w:cstheme="minorHAnsi"/>
              </w:rPr>
            </w:pPr>
            <w:r w:rsidRPr="001F3797">
              <w:rPr>
                <w:rFonts w:cstheme="minorHAnsi"/>
              </w:rPr>
              <w:t xml:space="preserve">Denominator </w:t>
            </w:r>
          </w:p>
        </w:tc>
        <w:tc>
          <w:tcPr>
            <w:tcW w:w="4059" w:type="pct"/>
          </w:tcPr>
          <w:p w14:paraId="6ADD399A" w14:textId="26339743" w:rsidR="00C96ED3" w:rsidRPr="001F3797" w:rsidRDefault="00F63EF9" w:rsidP="0002363D">
            <w:pPr>
              <w:rPr>
                <w:rFonts w:cstheme="minorHAnsi"/>
              </w:rPr>
            </w:pPr>
            <w:r>
              <w:rPr>
                <w:rFonts w:cstheme="minorHAnsi"/>
              </w:rPr>
              <w:t>Total number of patients who have been oversupplied within the drug group within the 12-month rolling period</w:t>
            </w:r>
            <w:r w:rsidR="00F22AAA">
              <w:rPr>
                <w:rFonts w:cstheme="minorHAnsi"/>
              </w:rPr>
              <w:t>.</w:t>
            </w:r>
          </w:p>
          <w:p w14:paraId="43F7B4D8" w14:textId="77777777" w:rsidR="00C96ED3" w:rsidRPr="001F3797" w:rsidRDefault="00C96ED3" w:rsidP="0002363D">
            <w:pPr>
              <w:rPr>
                <w:rFonts w:cstheme="minorHAnsi"/>
              </w:rPr>
            </w:pPr>
          </w:p>
        </w:tc>
      </w:tr>
      <w:tr w:rsidR="00C96ED3" w:rsidRPr="001F3797" w14:paraId="1309D3BA" w14:textId="77777777" w:rsidTr="0002363D">
        <w:trPr>
          <w:trHeight w:val="1266"/>
        </w:trPr>
        <w:tc>
          <w:tcPr>
            <w:tcW w:w="941" w:type="pct"/>
          </w:tcPr>
          <w:p w14:paraId="37B27157" w14:textId="3741343C" w:rsidR="00C96ED3" w:rsidRPr="001F3797" w:rsidRDefault="00AD571B" w:rsidP="0002363D">
            <w:pPr>
              <w:rPr>
                <w:rFonts w:cstheme="minorHAnsi"/>
              </w:rPr>
            </w:pPr>
            <w:r w:rsidRPr="001F3797">
              <w:rPr>
                <w:rFonts w:cstheme="minorHAnsi"/>
              </w:rPr>
              <w:t xml:space="preserve">Rationale </w:t>
            </w:r>
            <w:r>
              <w:rPr>
                <w:rFonts w:cstheme="minorHAnsi"/>
              </w:rPr>
              <w:t>/ Comments</w:t>
            </w:r>
          </w:p>
        </w:tc>
        <w:tc>
          <w:tcPr>
            <w:tcW w:w="4059" w:type="pct"/>
          </w:tcPr>
          <w:p w14:paraId="53B2F264" w14:textId="553BB611" w:rsidR="005C7881" w:rsidRPr="001F3797" w:rsidRDefault="005C7881" w:rsidP="0002363D">
            <w:pPr>
              <w:rPr>
                <w:rFonts w:cstheme="minorHAnsi"/>
              </w:rPr>
            </w:pPr>
            <w:r>
              <w:rPr>
                <w:rFonts w:cstheme="minorHAnsi"/>
              </w:rPr>
              <w:t>This metric shows, of patients who have been oversupplied, what is the typical scale of the issue. A smaller number shows that of those oversupplied they are typically near to the threshold with a small amount of oversupply per patient, a larger number shows that either there are many patients receiving a significant oversupply or a few patients receiving an oversupply of many multiples of expected supply.</w:t>
            </w:r>
          </w:p>
        </w:tc>
      </w:tr>
    </w:tbl>
    <w:p w14:paraId="27797703" w14:textId="77777777" w:rsidR="00C96ED3" w:rsidRPr="00C96ED3" w:rsidRDefault="00C96ED3" w:rsidP="00C96ED3"/>
    <w:p w14:paraId="63F5759C" w14:textId="5C3B352E" w:rsidR="00C96ED3" w:rsidRDefault="00C96ED3" w:rsidP="00C96ED3">
      <w:pPr>
        <w:pStyle w:val="Heading1"/>
        <w:numPr>
          <w:ilvl w:val="1"/>
          <w:numId w:val="6"/>
        </w:numPr>
        <w:rPr>
          <w:rFonts w:cstheme="minorHAnsi"/>
        </w:rPr>
      </w:pPr>
      <w:bookmarkStart w:id="20" w:name="_Toc165029581"/>
      <w:r>
        <w:rPr>
          <w:rFonts w:cstheme="minorHAnsi"/>
        </w:rPr>
        <w:t>Cost comparators</w:t>
      </w:r>
      <w:bookmarkEnd w:id="20"/>
    </w:p>
    <w:p w14:paraId="196186D2" w14:textId="59342863" w:rsidR="00F63EF9" w:rsidRPr="00431E28" w:rsidRDefault="00F63EF9" w:rsidP="00F63EF9">
      <w:pPr>
        <w:pStyle w:val="Heading2"/>
      </w:pPr>
      <w:bookmarkStart w:id="21" w:name="_Toc165029582"/>
      <w:r>
        <w:t>Over threshold NIC</w:t>
      </w:r>
      <w:bookmarkEnd w:id="21"/>
    </w:p>
    <w:tbl>
      <w:tblPr>
        <w:tblStyle w:val="TableGrid"/>
        <w:tblW w:w="5000" w:type="pct"/>
        <w:tblLayout w:type="fixed"/>
        <w:tblLook w:val="04A0" w:firstRow="1" w:lastRow="0" w:firstColumn="1" w:lastColumn="0" w:noHBand="0" w:noVBand="1"/>
      </w:tblPr>
      <w:tblGrid>
        <w:gridCol w:w="1697"/>
        <w:gridCol w:w="7319"/>
      </w:tblGrid>
      <w:tr w:rsidR="00F63EF9" w:rsidRPr="001F3797" w14:paraId="60B95687" w14:textId="77777777" w:rsidTr="0002363D">
        <w:tc>
          <w:tcPr>
            <w:tcW w:w="941" w:type="pct"/>
          </w:tcPr>
          <w:p w14:paraId="4D7DD93D" w14:textId="77777777" w:rsidR="00F63EF9" w:rsidRPr="001F3797" w:rsidRDefault="00F63EF9" w:rsidP="0002363D">
            <w:pPr>
              <w:rPr>
                <w:rFonts w:cstheme="minorHAnsi"/>
              </w:rPr>
            </w:pPr>
            <w:r w:rsidRPr="001F3797">
              <w:rPr>
                <w:rFonts w:cstheme="minorHAnsi"/>
              </w:rPr>
              <w:t>Title</w:t>
            </w:r>
          </w:p>
        </w:tc>
        <w:tc>
          <w:tcPr>
            <w:tcW w:w="4059" w:type="pct"/>
          </w:tcPr>
          <w:p w14:paraId="7003E6C7" w14:textId="76F31B28" w:rsidR="00F63EF9" w:rsidRPr="001F3797" w:rsidRDefault="00F63EF9" w:rsidP="0002363D">
            <w:pPr>
              <w:rPr>
                <w:rFonts w:cstheme="minorHAnsi"/>
              </w:rPr>
            </w:pPr>
            <w:r>
              <w:rPr>
                <w:rFonts w:cstheme="minorHAnsi"/>
              </w:rPr>
              <w:t>Over threshold NIC (net ingredient cost)</w:t>
            </w:r>
          </w:p>
        </w:tc>
      </w:tr>
      <w:tr w:rsidR="00F63EF9" w:rsidRPr="001F3797" w14:paraId="2FC37EE5" w14:textId="77777777" w:rsidTr="0002363D">
        <w:tc>
          <w:tcPr>
            <w:tcW w:w="941" w:type="pct"/>
          </w:tcPr>
          <w:p w14:paraId="41396B29" w14:textId="77777777" w:rsidR="00F63EF9" w:rsidRPr="001F3797" w:rsidRDefault="00F63EF9" w:rsidP="0002363D">
            <w:pPr>
              <w:rPr>
                <w:rFonts w:cstheme="minorHAnsi"/>
              </w:rPr>
            </w:pPr>
            <w:r w:rsidRPr="001F3797">
              <w:rPr>
                <w:rFonts w:cstheme="minorHAnsi"/>
              </w:rPr>
              <w:t>Description</w:t>
            </w:r>
          </w:p>
        </w:tc>
        <w:tc>
          <w:tcPr>
            <w:tcW w:w="4059" w:type="pct"/>
          </w:tcPr>
          <w:p w14:paraId="52D0CFDF" w14:textId="6765D66C" w:rsidR="00F63EF9" w:rsidRPr="001F3797" w:rsidRDefault="00F63EF9" w:rsidP="0002363D">
            <w:pPr>
              <w:rPr>
                <w:rFonts w:cstheme="minorHAnsi"/>
              </w:rPr>
            </w:pPr>
            <w:r>
              <w:rPr>
                <w:rFonts w:cstheme="minorHAnsi"/>
              </w:rPr>
              <w:t>The apportioned net ingredient cost assigned to a patient’s oversupply</w:t>
            </w:r>
          </w:p>
        </w:tc>
      </w:tr>
      <w:tr w:rsidR="00F63EF9" w:rsidRPr="001F3797" w14:paraId="0B73D23C" w14:textId="77777777" w:rsidTr="0002363D">
        <w:tc>
          <w:tcPr>
            <w:tcW w:w="941" w:type="pct"/>
          </w:tcPr>
          <w:p w14:paraId="79E7EBB5" w14:textId="77777777" w:rsidR="00F63EF9" w:rsidRPr="001F3797" w:rsidRDefault="00F63EF9" w:rsidP="0002363D">
            <w:pPr>
              <w:rPr>
                <w:rFonts w:cstheme="minorHAnsi"/>
              </w:rPr>
            </w:pPr>
            <w:r w:rsidRPr="001F3797">
              <w:rPr>
                <w:rFonts w:cstheme="minorHAnsi"/>
              </w:rPr>
              <w:t>Numerator</w:t>
            </w:r>
          </w:p>
        </w:tc>
        <w:tc>
          <w:tcPr>
            <w:tcW w:w="4059" w:type="pct"/>
          </w:tcPr>
          <w:p w14:paraId="315455FF" w14:textId="47870D54" w:rsidR="00F63EF9" w:rsidRPr="001F3797" w:rsidRDefault="00F22AAA" w:rsidP="00F63EF9">
            <w:pPr>
              <w:rPr>
                <w:rFonts w:cstheme="minorHAnsi"/>
              </w:rPr>
            </w:pPr>
            <w:r>
              <w:rPr>
                <w:rFonts w:cstheme="minorHAnsi"/>
              </w:rPr>
              <w:t>Total net ingredient cost per patient per drug group multiplied by the quantity of oversupplied product</w:t>
            </w:r>
            <w:r w:rsidR="005C7881">
              <w:rPr>
                <w:rFonts w:cstheme="minorHAnsi"/>
              </w:rPr>
              <w:t xml:space="preserve"> to that patient</w:t>
            </w:r>
          </w:p>
        </w:tc>
      </w:tr>
      <w:tr w:rsidR="00F63EF9" w:rsidRPr="001F3797" w14:paraId="3065B86E" w14:textId="77777777" w:rsidTr="0002363D">
        <w:tc>
          <w:tcPr>
            <w:tcW w:w="941" w:type="pct"/>
          </w:tcPr>
          <w:p w14:paraId="7554FCEB" w14:textId="77777777" w:rsidR="00F63EF9" w:rsidRPr="001F3797" w:rsidRDefault="00F63EF9" w:rsidP="0002363D">
            <w:pPr>
              <w:rPr>
                <w:rFonts w:cstheme="minorHAnsi"/>
              </w:rPr>
            </w:pPr>
            <w:r w:rsidRPr="001F3797">
              <w:rPr>
                <w:rFonts w:cstheme="minorHAnsi"/>
              </w:rPr>
              <w:t xml:space="preserve">Denominator </w:t>
            </w:r>
          </w:p>
        </w:tc>
        <w:tc>
          <w:tcPr>
            <w:tcW w:w="4059" w:type="pct"/>
          </w:tcPr>
          <w:p w14:paraId="04579E6F" w14:textId="4021254B" w:rsidR="00F63EF9" w:rsidRPr="001F3797" w:rsidRDefault="00F22AAA" w:rsidP="00F63EF9">
            <w:pPr>
              <w:rPr>
                <w:rFonts w:cstheme="minorHAnsi"/>
              </w:rPr>
            </w:pPr>
            <w:r>
              <w:rPr>
                <w:rFonts w:cstheme="minorHAnsi"/>
              </w:rPr>
              <w:t>The total quantity supplied to the patient</w:t>
            </w:r>
          </w:p>
        </w:tc>
      </w:tr>
      <w:tr w:rsidR="00F63EF9" w:rsidRPr="001F3797" w14:paraId="146EF57C" w14:textId="77777777" w:rsidTr="0002363D">
        <w:trPr>
          <w:trHeight w:val="1266"/>
        </w:trPr>
        <w:tc>
          <w:tcPr>
            <w:tcW w:w="941" w:type="pct"/>
          </w:tcPr>
          <w:p w14:paraId="49611EF7" w14:textId="57AD5157" w:rsidR="00F63EF9" w:rsidRPr="001F3797" w:rsidRDefault="00F63EF9" w:rsidP="0002363D">
            <w:pPr>
              <w:rPr>
                <w:rFonts w:cstheme="minorHAnsi"/>
              </w:rPr>
            </w:pPr>
            <w:r w:rsidRPr="001F3797">
              <w:rPr>
                <w:rFonts w:cstheme="minorHAnsi"/>
              </w:rPr>
              <w:lastRenderedPageBreak/>
              <w:t xml:space="preserve">Rationale </w:t>
            </w:r>
            <w:r w:rsidR="00AD571B">
              <w:rPr>
                <w:rFonts w:cstheme="minorHAnsi"/>
              </w:rPr>
              <w:t>/ Comments</w:t>
            </w:r>
          </w:p>
        </w:tc>
        <w:tc>
          <w:tcPr>
            <w:tcW w:w="4059" w:type="pct"/>
          </w:tcPr>
          <w:p w14:paraId="3946EBC3" w14:textId="79744C87" w:rsidR="00F22AAA" w:rsidRDefault="00F22AAA" w:rsidP="0002363D">
            <w:pPr>
              <w:rPr>
                <w:rFonts w:cstheme="minorHAnsi"/>
              </w:rPr>
            </w:pPr>
            <w:r>
              <w:rPr>
                <w:rFonts w:cstheme="minorHAnsi"/>
              </w:rPr>
              <w:t xml:space="preserve">The equation above calculates, for each oversupplied patient, a proportion of the NIC equal to the proportion of quantity oversupplied. This figure is then summed across all oversupplied patients. Patients who were within threshold </w:t>
            </w:r>
            <w:r w:rsidR="005026CC">
              <w:rPr>
                <w:rFonts w:cstheme="minorHAnsi"/>
              </w:rPr>
              <w:t>have a figure of £0.00.</w:t>
            </w:r>
          </w:p>
          <w:p w14:paraId="3CC52F86" w14:textId="77777777" w:rsidR="00F22AAA" w:rsidRDefault="00F22AAA" w:rsidP="0002363D">
            <w:pPr>
              <w:rPr>
                <w:rFonts w:cstheme="minorHAnsi"/>
              </w:rPr>
            </w:pPr>
          </w:p>
          <w:p w14:paraId="44010CA9" w14:textId="30B2C96F" w:rsidR="00F22AAA" w:rsidRDefault="00F22AAA" w:rsidP="0002363D">
            <w:pPr>
              <w:rPr>
                <w:rFonts w:cstheme="minorHAnsi"/>
              </w:rPr>
            </w:pPr>
            <w:r>
              <w:rPr>
                <w:rFonts w:cstheme="minorHAnsi"/>
              </w:rPr>
              <w:t>Using this calculation per patient and summing this total figure gives a more accurate figure than looking across the whole drug group as it factors in which products were supplied to which patient and is also influenced by any price variations over time.</w:t>
            </w:r>
          </w:p>
          <w:p w14:paraId="3E70B594" w14:textId="77777777" w:rsidR="00F22AAA" w:rsidRDefault="00F22AAA" w:rsidP="0002363D">
            <w:pPr>
              <w:rPr>
                <w:rFonts w:cstheme="minorHAnsi"/>
              </w:rPr>
            </w:pPr>
          </w:p>
          <w:p w14:paraId="2DEDBCC1" w14:textId="30C3172E" w:rsidR="00F22AAA" w:rsidRPr="001F3797" w:rsidRDefault="00F22AAA" w:rsidP="0002363D">
            <w:pPr>
              <w:rPr>
                <w:rFonts w:cstheme="minorHAnsi"/>
              </w:rPr>
            </w:pPr>
            <w:r>
              <w:rPr>
                <w:rFonts w:cstheme="minorHAnsi"/>
              </w:rPr>
              <w:t>This does not calculate the true NIC of the first [threshold] quantity of supply and the true NIC of supply after that point but averages the oversupply across every dispense event as in most cases patients will be receiving continued oversupply each dispensing event.</w:t>
            </w:r>
          </w:p>
        </w:tc>
      </w:tr>
    </w:tbl>
    <w:p w14:paraId="7FCC4074" w14:textId="77777777" w:rsidR="00F63EF9" w:rsidRPr="00C96ED3" w:rsidRDefault="00F63EF9" w:rsidP="00F63EF9"/>
    <w:p w14:paraId="18CD5C7B" w14:textId="77777777" w:rsidR="00F63EF9" w:rsidRPr="00F63EF9" w:rsidRDefault="00F63EF9" w:rsidP="00F63EF9"/>
    <w:p w14:paraId="6E0AF715" w14:textId="4BD2E2A0" w:rsidR="004805E9" w:rsidRPr="00431E28" w:rsidRDefault="004805E9" w:rsidP="004805E9">
      <w:pPr>
        <w:pStyle w:val="Heading2"/>
      </w:pPr>
      <w:bookmarkStart w:id="22" w:name="_Toc165029583"/>
      <w:r>
        <w:t>% over threshold NIC</w:t>
      </w:r>
      <w:bookmarkEnd w:id="22"/>
    </w:p>
    <w:tbl>
      <w:tblPr>
        <w:tblStyle w:val="TableGrid"/>
        <w:tblW w:w="5000" w:type="pct"/>
        <w:tblLayout w:type="fixed"/>
        <w:tblLook w:val="04A0" w:firstRow="1" w:lastRow="0" w:firstColumn="1" w:lastColumn="0" w:noHBand="0" w:noVBand="1"/>
      </w:tblPr>
      <w:tblGrid>
        <w:gridCol w:w="1697"/>
        <w:gridCol w:w="7319"/>
      </w:tblGrid>
      <w:tr w:rsidR="004805E9" w:rsidRPr="001F3797" w14:paraId="3A6A20C1" w14:textId="77777777" w:rsidTr="0002363D">
        <w:tc>
          <w:tcPr>
            <w:tcW w:w="941" w:type="pct"/>
          </w:tcPr>
          <w:p w14:paraId="35B5DFB5" w14:textId="77777777" w:rsidR="004805E9" w:rsidRPr="001F3797" w:rsidRDefault="004805E9" w:rsidP="0002363D">
            <w:pPr>
              <w:rPr>
                <w:rFonts w:cstheme="minorHAnsi"/>
              </w:rPr>
            </w:pPr>
            <w:r w:rsidRPr="001F3797">
              <w:rPr>
                <w:rFonts w:cstheme="minorHAnsi"/>
              </w:rPr>
              <w:t>Title</w:t>
            </w:r>
          </w:p>
        </w:tc>
        <w:tc>
          <w:tcPr>
            <w:tcW w:w="4059" w:type="pct"/>
          </w:tcPr>
          <w:p w14:paraId="1D53FEFE" w14:textId="41F0C1E5" w:rsidR="004805E9" w:rsidRPr="001F3797" w:rsidRDefault="004805E9" w:rsidP="0002363D">
            <w:pPr>
              <w:rPr>
                <w:rFonts w:cstheme="minorHAnsi"/>
              </w:rPr>
            </w:pPr>
            <w:r>
              <w:rPr>
                <w:rFonts w:cstheme="minorHAnsi"/>
              </w:rPr>
              <w:t xml:space="preserve">% over threshold </w:t>
            </w:r>
            <w:r w:rsidR="00F63EF9">
              <w:rPr>
                <w:rFonts w:cstheme="minorHAnsi"/>
              </w:rPr>
              <w:t>NIC (net ingredient cost)</w:t>
            </w:r>
          </w:p>
        </w:tc>
      </w:tr>
      <w:tr w:rsidR="004805E9" w:rsidRPr="001F3797" w14:paraId="4FA19A99" w14:textId="77777777" w:rsidTr="0002363D">
        <w:tc>
          <w:tcPr>
            <w:tcW w:w="941" w:type="pct"/>
          </w:tcPr>
          <w:p w14:paraId="147754B9" w14:textId="77777777" w:rsidR="004805E9" w:rsidRPr="001F3797" w:rsidRDefault="004805E9" w:rsidP="0002363D">
            <w:pPr>
              <w:rPr>
                <w:rFonts w:cstheme="minorHAnsi"/>
              </w:rPr>
            </w:pPr>
            <w:r w:rsidRPr="001F3797">
              <w:rPr>
                <w:rFonts w:cstheme="minorHAnsi"/>
              </w:rPr>
              <w:t>Description</w:t>
            </w:r>
          </w:p>
        </w:tc>
        <w:tc>
          <w:tcPr>
            <w:tcW w:w="4059" w:type="pct"/>
          </w:tcPr>
          <w:p w14:paraId="40F9F10F" w14:textId="50E2707A" w:rsidR="004805E9" w:rsidRPr="001F3797" w:rsidRDefault="00F63EF9" w:rsidP="0002363D">
            <w:pPr>
              <w:rPr>
                <w:rFonts w:cstheme="minorHAnsi"/>
              </w:rPr>
            </w:pPr>
            <w:r>
              <w:rPr>
                <w:rFonts w:cstheme="minorHAnsi"/>
              </w:rPr>
              <w:t>The proportion of apportioned net ingredient cost assigned to a patient’s oversupply</w:t>
            </w:r>
          </w:p>
        </w:tc>
      </w:tr>
      <w:tr w:rsidR="004805E9" w:rsidRPr="001F3797" w14:paraId="0171998D" w14:textId="77777777" w:rsidTr="0002363D">
        <w:tc>
          <w:tcPr>
            <w:tcW w:w="941" w:type="pct"/>
          </w:tcPr>
          <w:p w14:paraId="05B4CABC" w14:textId="77777777" w:rsidR="004805E9" w:rsidRPr="001F3797" w:rsidRDefault="004805E9" w:rsidP="0002363D">
            <w:pPr>
              <w:rPr>
                <w:rFonts w:cstheme="minorHAnsi"/>
              </w:rPr>
            </w:pPr>
            <w:r w:rsidRPr="001F3797">
              <w:rPr>
                <w:rFonts w:cstheme="minorHAnsi"/>
              </w:rPr>
              <w:t>Numerator</w:t>
            </w:r>
          </w:p>
        </w:tc>
        <w:tc>
          <w:tcPr>
            <w:tcW w:w="4059" w:type="pct"/>
          </w:tcPr>
          <w:p w14:paraId="32BC6B6A" w14:textId="44E3FE86" w:rsidR="004805E9" w:rsidRPr="001F3797" w:rsidRDefault="005C7881" w:rsidP="00F63EF9">
            <w:pPr>
              <w:rPr>
                <w:rFonts w:cstheme="minorHAnsi"/>
              </w:rPr>
            </w:pPr>
            <w:r>
              <w:rPr>
                <w:rFonts w:cstheme="minorHAnsi"/>
              </w:rPr>
              <w:t>Over threshold NIC</w:t>
            </w:r>
          </w:p>
        </w:tc>
      </w:tr>
      <w:tr w:rsidR="004805E9" w:rsidRPr="001F3797" w14:paraId="55DE4C75" w14:textId="77777777" w:rsidTr="0002363D">
        <w:tc>
          <w:tcPr>
            <w:tcW w:w="941" w:type="pct"/>
          </w:tcPr>
          <w:p w14:paraId="7E1C7A1B" w14:textId="77777777" w:rsidR="004805E9" w:rsidRPr="001F3797" w:rsidRDefault="004805E9" w:rsidP="0002363D">
            <w:pPr>
              <w:rPr>
                <w:rFonts w:cstheme="minorHAnsi"/>
              </w:rPr>
            </w:pPr>
            <w:r w:rsidRPr="001F3797">
              <w:rPr>
                <w:rFonts w:cstheme="minorHAnsi"/>
              </w:rPr>
              <w:t xml:space="preserve">Denominator </w:t>
            </w:r>
          </w:p>
        </w:tc>
        <w:tc>
          <w:tcPr>
            <w:tcW w:w="4059" w:type="pct"/>
          </w:tcPr>
          <w:p w14:paraId="05F65317" w14:textId="2224D3F7" w:rsidR="004805E9" w:rsidRPr="001F3797" w:rsidRDefault="005C7881" w:rsidP="00F63EF9">
            <w:pPr>
              <w:rPr>
                <w:rFonts w:cstheme="minorHAnsi"/>
              </w:rPr>
            </w:pPr>
            <w:r>
              <w:rPr>
                <w:rFonts w:cstheme="minorHAnsi"/>
              </w:rPr>
              <w:t>Total NIC</w:t>
            </w:r>
          </w:p>
        </w:tc>
      </w:tr>
      <w:tr w:rsidR="004805E9" w:rsidRPr="001F3797" w14:paraId="6E9C92BE" w14:textId="77777777" w:rsidTr="0002363D">
        <w:trPr>
          <w:trHeight w:val="1266"/>
        </w:trPr>
        <w:tc>
          <w:tcPr>
            <w:tcW w:w="941" w:type="pct"/>
          </w:tcPr>
          <w:p w14:paraId="4C27F9B2" w14:textId="25B695D5" w:rsidR="004805E9" w:rsidRPr="001F3797" w:rsidRDefault="00AD571B" w:rsidP="0002363D">
            <w:pPr>
              <w:rPr>
                <w:rFonts w:cstheme="minorHAnsi"/>
              </w:rPr>
            </w:pPr>
            <w:r w:rsidRPr="001F3797">
              <w:rPr>
                <w:rFonts w:cstheme="minorHAnsi"/>
              </w:rPr>
              <w:t xml:space="preserve">Rationale </w:t>
            </w:r>
            <w:r>
              <w:rPr>
                <w:rFonts w:cstheme="minorHAnsi"/>
              </w:rPr>
              <w:t>/ Comments</w:t>
            </w:r>
          </w:p>
        </w:tc>
        <w:tc>
          <w:tcPr>
            <w:tcW w:w="4059" w:type="pct"/>
          </w:tcPr>
          <w:p w14:paraId="34A30FA9" w14:textId="5B0E7743" w:rsidR="004805E9" w:rsidRPr="001F3797" w:rsidRDefault="00A409EF" w:rsidP="0002363D">
            <w:pPr>
              <w:rPr>
                <w:rFonts w:cstheme="minorHAnsi"/>
              </w:rPr>
            </w:pPr>
            <w:r>
              <w:rPr>
                <w:rFonts w:cstheme="minorHAnsi"/>
              </w:rPr>
              <w:t>The proportion of net ingredient cost spend that is attributed to oversupply. This is given at national level for information only and not to be used as a performance metric as this is influenced by outside factors such as price fluctuations.</w:t>
            </w:r>
          </w:p>
        </w:tc>
      </w:tr>
    </w:tbl>
    <w:p w14:paraId="07B686C0" w14:textId="77777777" w:rsidR="004805E9" w:rsidRPr="00C96ED3" w:rsidRDefault="004805E9" w:rsidP="004805E9"/>
    <w:p w14:paraId="744D0065" w14:textId="7D26AC6F" w:rsidR="004805E9" w:rsidRPr="00431E28" w:rsidRDefault="004805E9" w:rsidP="004805E9">
      <w:pPr>
        <w:pStyle w:val="Heading2"/>
      </w:pPr>
      <w:bookmarkStart w:id="23" w:name="_Toc165029584"/>
      <w:r>
        <w:t>Cost if over threshold patients were at threshold</w:t>
      </w:r>
      <w:bookmarkEnd w:id="23"/>
    </w:p>
    <w:tbl>
      <w:tblPr>
        <w:tblStyle w:val="TableGrid"/>
        <w:tblW w:w="5000" w:type="pct"/>
        <w:tblLayout w:type="fixed"/>
        <w:tblLook w:val="04A0" w:firstRow="1" w:lastRow="0" w:firstColumn="1" w:lastColumn="0" w:noHBand="0" w:noVBand="1"/>
      </w:tblPr>
      <w:tblGrid>
        <w:gridCol w:w="1697"/>
        <w:gridCol w:w="7319"/>
      </w:tblGrid>
      <w:tr w:rsidR="004805E9" w:rsidRPr="001F3797" w14:paraId="1780EB4F" w14:textId="77777777" w:rsidTr="0002363D">
        <w:tc>
          <w:tcPr>
            <w:tcW w:w="941" w:type="pct"/>
          </w:tcPr>
          <w:p w14:paraId="49150E97" w14:textId="77777777" w:rsidR="004805E9" w:rsidRPr="001F3797" w:rsidRDefault="004805E9" w:rsidP="0002363D">
            <w:pPr>
              <w:rPr>
                <w:rFonts w:cstheme="minorHAnsi"/>
              </w:rPr>
            </w:pPr>
            <w:r w:rsidRPr="001F3797">
              <w:rPr>
                <w:rFonts w:cstheme="minorHAnsi"/>
              </w:rPr>
              <w:t>Title</w:t>
            </w:r>
          </w:p>
        </w:tc>
        <w:tc>
          <w:tcPr>
            <w:tcW w:w="4059" w:type="pct"/>
          </w:tcPr>
          <w:p w14:paraId="47DD7FE9" w14:textId="3BF0D4B3" w:rsidR="004805E9" w:rsidRPr="001F3797" w:rsidRDefault="005026CC" w:rsidP="0002363D">
            <w:pPr>
              <w:rPr>
                <w:rFonts w:cstheme="minorHAnsi"/>
              </w:rPr>
            </w:pPr>
            <w:r>
              <w:rPr>
                <w:rFonts w:cstheme="minorHAnsi"/>
              </w:rPr>
              <w:t>Cost if over threshold patients were at threshold</w:t>
            </w:r>
          </w:p>
        </w:tc>
      </w:tr>
      <w:tr w:rsidR="004805E9" w:rsidRPr="001F3797" w14:paraId="43F29B5D" w14:textId="77777777" w:rsidTr="0002363D">
        <w:tc>
          <w:tcPr>
            <w:tcW w:w="941" w:type="pct"/>
          </w:tcPr>
          <w:p w14:paraId="47CFEB1F" w14:textId="77777777" w:rsidR="004805E9" w:rsidRPr="001F3797" w:rsidRDefault="004805E9" w:rsidP="0002363D">
            <w:pPr>
              <w:rPr>
                <w:rFonts w:cstheme="minorHAnsi"/>
              </w:rPr>
            </w:pPr>
            <w:r w:rsidRPr="001F3797">
              <w:rPr>
                <w:rFonts w:cstheme="minorHAnsi"/>
              </w:rPr>
              <w:t>Description</w:t>
            </w:r>
          </w:p>
        </w:tc>
        <w:tc>
          <w:tcPr>
            <w:tcW w:w="4059" w:type="pct"/>
          </w:tcPr>
          <w:p w14:paraId="0E7BF1A9" w14:textId="68460A56" w:rsidR="004805E9" w:rsidRPr="001F3797" w:rsidRDefault="005C7881" w:rsidP="0002363D">
            <w:pPr>
              <w:rPr>
                <w:rFonts w:cstheme="minorHAnsi"/>
              </w:rPr>
            </w:pPr>
            <w:r>
              <w:rPr>
                <w:rFonts w:cstheme="minorHAnsi"/>
              </w:rPr>
              <w:t>The total NIC of appropriately supplied items</w:t>
            </w:r>
          </w:p>
        </w:tc>
      </w:tr>
      <w:tr w:rsidR="004805E9" w:rsidRPr="001F3797" w14:paraId="1D11E1A9" w14:textId="77777777" w:rsidTr="0002363D">
        <w:tc>
          <w:tcPr>
            <w:tcW w:w="941" w:type="pct"/>
          </w:tcPr>
          <w:p w14:paraId="4D3F16C0" w14:textId="77777777" w:rsidR="004805E9" w:rsidRPr="001F3797" w:rsidRDefault="004805E9" w:rsidP="0002363D">
            <w:pPr>
              <w:rPr>
                <w:rFonts w:cstheme="minorHAnsi"/>
              </w:rPr>
            </w:pPr>
            <w:r w:rsidRPr="001F3797">
              <w:rPr>
                <w:rFonts w:cstheme="minorHAnsi"/>
              </w:rPr>
              <w:t>Numerator</w:t>
            </w:r>
          </w:p>
        </w:tc>
        <w:tc>
          <w:tcPr>
            <w:tcW w:w="4059" w:type="pct"/>
          </w:tcPr>
          <w:p w14:paraId="4C0CAB3B" w14:textId="57391F76" w:rsidR="004805E9" w:rsidRPr="001F3797" w:rsidRDefault="005C7881" w:rsidP="00F63EF9">
            <w:pPr>
              <w:rPr>
                <w:rFonts w:cstheme="minorHAnsi"/>
              </w:rPr>
            </w:pPr>
            <w:r>
              <w:rPr>
                <w:rFonts w:cstheme="minorHAnsi"/>
              </w:rPr>
              <w:t>The total net ingredient cost (NIC) per patient per drug group multiplied by the quantity within threshold for to that patient</w:t>
            </w:r>
          </w:p>
        </w:tc>
      </w:tr>
      <w:tr w:rsidR="004805E9" w:rsidRPr="001F3797" w14:paraId="442EAF74" w14:textId="77777777" w:rsidTr="0002363D">
        <w:tc>
          <w:tcPr>
            <w:tcW w:w="941" w:type="pct"/>
          </w:tcPr>
          <w:p w14:paraId="520AC119" w14:textId="77777777" w:rsidR="004805E9" w:rsidRPr="001F3797" w:rsidRDefault="004805E9" w:rsidP="0002363D">
            <w:pPr>
              <w:rPr>
                <w:rFonts w:cstheme="minorHAnsi"/>
              </w:rPr>
            </w:pPr>
            <w:r w:rsidRPr="001F3797">
              <w:rPr>
                <w:rFonts w:cstheme="minorHAnsi"/>
              </w:rPr>
              <w:t xml:space="preserve">Denominator </w:t>
            </w:r>
          </w:p>
        </w:tc>
        <w:tc>
          <w:tcPr>
            <w:tcW w:w="4059" w:type="pct"/>
          </w:tcPr>
          <w:p w14:paraId="4117AC02" w14:textId="63814BFD" w:rsidR="004805E9" w:rsidRPr="001F3797" w:rsidRDefault="005C7881" w:rsidP="00F63EF9">
            <w:pPr>
              <w:rPr>
                <w:rFonts w:cstheme="minorHAnsi"/>
              </w:rPr>
            </w:pPr>
            <w:r>
              <w:rPr>
                <w:rFonts w:cstheme="minorHAnsi"/>
              </w:rPr>
              <w:t>The total quantity supplied to the patient</w:t>
            </w:r>
          </w:p>
        </w:tc>
      </w:tr>
      <w:tr w:rsidR="004805E9" w:rsidRPr="001F3797" w14:paraId="02F5DC95" w14:textId="77777777" w:rsidTr="0002363D">
        <w:trPr>
          <w:trHeight w:val="1266"/>
        </w:trPr>
        <w:tc>
          <w:tcPr>
            <w:tcW w:w="941" w:type="pct"/>
          </w:tcPr>
          <w:p w14:paraId="4E0DDB91" w14:textId="31B3B25F" w:rsidR="004805E9" w:rsidRPr="001F3797" w:rsidRDefault="00AD571B" w:rsidP="0002363D">
            <w:pPr>
              <w:rPr>
                <w:rFonts w:cstheme="minorHAnsi"/>
              </w:rPr>
            </w:pPr>
            <w:r w:rsidRPr="001F3797">
              <w:rPr>
                <w:rFonts w:cstheme="minorHAnsi"/>
              </w:rPr>
              <w:t xml:space="preserve">Rationale </w:t>
            </w:r>
            <w:r>
              <w:rPr>
                <w:rFonts w:cstheme="minorHAnsi"/>
              </w:rPr>
              <w:t>/ Comments</w:t>
            </w:r>
          </w:p>
        </w:tc>
        <w:tc>
          <w:tcPr>
            <w:tcW w:w="4059" w:type="pct"/>
          </w:tcPr>
          <w:p w14:paraId="187C4FA0" w14:textId="77777777" w:rsidR="004805E9" w:rsidRDefault="005C7881" w:rsidP="0002363D">
            <w:pPr>
              <w:rPr>
                <w:rFonts w:cstheme="minorHAnsi"/>
              </w:rPr>
            </w:pPr>
            <w:r>
              <w:rPr>
                <w:rFonts w:cstheme="minorHAnsi"/>
              </w:rPr>
              <w:t>This figure is the other side of the calculation of over threshold NIC.</w:t>
            </w:r>
          </w:p>
          <w:p w14:paraId="29E077F2" w14:textId="77777777" w:rsidR="00AD571B" w:rsidRDefault="00AD571B" w:rsidP="0002363D">
            <w:pPr>
              <w:rPr>
                <w:rFonts w:cstheme="minorHAnsi"/>
              </w:rPr>
            </w:pPr>
          </w:p>
          <w:p w14:paraId="2684CB84" w14:textId="4C3F1F71" w:rsidR="00AD571B" w:rsidRDefault="00AD571B" w:rsidP="0002363D">
            <w:pPr>
              <w:rPr>
                <w:rFonts w:cstheme="minorHAnsi"/>
              </w:rPr>
            </w:pPr>
            <w:r>
              <w:rPr>
                <w:rFonts w:cstheme="minorHAnsi"/>
              </w:rPr>
              <w:t>(Cost if over threshold patients were at threshold) + (Savings if over threshold patients were at threshold) = total NIC</w:t>
            </w:r>
          </w:p>
          <w:p w14:paraId="5AFA9B24" w14:textId="77777777" w:rsidR="005C7881" w:rsidRDefault="005C7881" w:rsidP="0002363D">
            <w:pPr>
              <w:rPr>
                <w:rFonts w:cstheme="minorHAnsi"/>
              </w:rPr>
            </w:pPr>
          </w:p>
          <w:p w14:paraId="04AD2F22" w14:textId="5CE55702" w:rsidR="005C7881" w:rsidRPr="001F3797" w:rsidRDefault="005C7881" w:rsidP="0002363D">
            <w:pPr>
              <w:rPr>
                <w:rFonts w:cstheme="minorHAnsi"/>
              </w:rPr>
            </w:pPr>
            <w:r>
              <w:rPr>
                <w:rFonts w:cstheme="minorHAnsi"/>
              </w:rPr>
              <w:t>This figure is the total NIC for all patients who are appropriately supplied, plus the NIC for oversupplied patients if they had only received the threshold.</w:t>
            </w:r>
          </w:p>
        </w:tc>
      </w:tr>
    </w:tbl>
    <w:p w14:paraId="2D1C0092" w14:textId="77777777" w:rsidR="004805E9" w:rsidRPr="00C96ED3" w:rsidRDefault="004805E9" w:rsidP="004805E9"/>
    <w:p w14:paraId="4FB21B61" w14:textId="3A561DD6" w:rsidR="004805E9" w:rsidRPr="00431E28" w:rsidRDefault="004805E9" w:rsidP="004805E9">
      <w:pPr>
        <w:pStyle w:val="Heading2"/>
      </w:pPr>
      <w:bookmarkStart w:id="24" w:name="_Toc165029585"/>
      <w:r>
        <w:t>Savings if over threshold patients were at threshold</w:t>
      </w:r>
      <w:bookmarkEnd w:id="24"/>
      <w:r>
        <w:t xml:space="preserve"> </w:t>
      </w:r>
    </w:p>
    <w:tbl>
      <w:tblPr>
        <w:tblStyle w:val="TableGrid"/>
        <w:tblW w:w="5000" w:type="pct"/>
        <w:tblLayout w:type="fixed"/>
        <w:tblLook w:val="04A0" w:firstRow="1" w:lastRow="0" w:firstColumn="1" w:lastColumn="0" w:noHBand="0" w:noVBand="1"/>
      </w:tblPr>
      <w:tblGrid>
        <w:gridCol w:w="1697"/>
        <w:gridCol w:w="7319"/>
      </w:tblGrid>
      <w:tr w:rsidR="004805E9" w:rsidRPr="001F3797" w14:paraId="6D878D9C" w14:textId="77777777" w:rsidTr="0002363D">
        <w:tc>
          <w:tcPr>
            <w:tcW w:w="941" w:type="pct"/>
          </w:tcPr>
          <w:p w14:paraId="7ED13838" w14:textId="77777777" w:rsidR="004805E9" w:rsidRPr="001F3797" w:rsidRDefault="004805E9" w:rsidP="0002363D">
            <w:pPr>
              <w:rPr>
                <w:rFonts w:cstheme="minorHAnsi"/>
              </w:rPr>
            </w:pPr>
            <w:r w:rsidRPr="001F3797">
              <w:rPr>
                <w:rFonts w:cstheme="minorHAnsi"/>
              </w:rPr>
              <w:t>Title</w:t>
            </w:r>
          </w:p>
        </w:tc>
        <w:tc>
          <w:tcPr>
            <w:tcW w:w="4059" w:type="pct"/>
          </w:tcPr>
          <w:p w14:paraId="3B66B055" w14:textId="23F68E07" w:rsidR="004805E9" w:rsidRPr="001F3797" w:rsidRDefault="005026CC" w:rsidP="0002363D">
            <w:pPr>
              <w:rPr>
                <w:rFonts w:cstheme="minorHAnsi"/>
              </w:rPr>
            </w:pPr>
            <w:r>
              <w:rPr>
                <w:rFonts w:cstheme="minorHAnsi"/>
              </w:rPr>
              <w:t>Savings if over threshold patients were at threshold</w:t>
            </w:r>
          </w:p>
        </w:tc>
      </w:tr>
      <w:tr w:rsidR="004805E9" w:rsidRPr="001F3797" w14:paraId="342D2F97" w14:textId="77777777" w:rsidTr="0002363D">
        <w:tc>
          <w:tcPr>
            <w:tcW w:w="941" w:type="pct"/>
          </w:tcPr>
          <w:p w14:paraId="0450869F" w14:textId="77777777" w:rsidR="004805E9" w:rsidRPr="001F3797" w:rsidRDefault="004805E9" w:rsidP="0002363D">
            <w:pPr>
              <w:rPr>
                <w:rFonts w:cstheme="minorHAnsi"/>
              </w:rPr>
            </w:pPr>
            <w:r w:rsidRPr="001F3797">
              <w:rPr>
                <w:rFonts w:cstheme="minorHAnsi"/>
              </w:rPr>
              <w:t>Description</w:t>
            </w:r>
          </w:p>
        </w:tc>
        <w:tc>
          <w:tcPr>
            <w:tcW w:w="4059" w:type="pct"/>
          </w:tcPr>
          <w:p w14:paraId="20493970" w14:textId="49A4C0D0" w:rsidR="004805E9" w:rsidRPr="001F3797" w:rsidRDefault="00F163EF" w:rsidP="0002363D">
            <w:pPr>
              <w:rPr>
                <w:rFonts w:cstheme="minorHAnsi"/>
              </w:rPr>
            </w:pPr>
            <w:r>
              <w:rPr>
                <w:rFonts w:cstheme="minorHAnsi"/>
              </w:rPr>
              <w:t xml:space="preserve">Counterfactual </w:t>
            </w:r>
            <w:r w:rsidR="00A409EF">
              <w:rPr>
                <w:rFonts w:cstheme="minorHAnsi"/>
              </w:rPr>
              <w:t xml:space="preserve">NIC </w:t>
            </w:r>
            <w:r>
              <w:rPr>
                <w:rFonts w:cstheme="minorHAnsi"/>
              </w:rPr>
              <w:t xml:space="preserve">savings possible if patients who received excess supply received the threshold quantity </w:t>
            </w:r>
          </w:p>
        </w:tc>
      </w:tr>
      <w:tr w:rsidR="004805E9" w:rsidRPr="001F3797" w14:paraId="070FAD3E" w14:textId="77777777" w:rsidTr="0002363D">
        <w:tc>
          <w:tcPr>
            <w:tcW w:w="941" w:type="pct"/>
          </w:tcPr>
          <w:p w14:paraId="44878CA5" w14:textId="77777777" w:rsidR="004805E9" w:rsidRPr="001F3797" w:rsidRDefault="004805E9" w:rsidP="0002363D">
            <w:pPr>
              <w:rPr>
                <w:rFonts w:cstheme="minorHAnsi"/>
              </w:rPr>
            </w:pPr>
            <w:r w:rsidRPr="001F3797">
              <w:rPr>
                <w:rFonts w:cstheme="minorHAnsi"/>
              </w:rPr>
              <w:t>Numerator</w:t>
            </w:r>
          </w:p>
        </w:tc>
        <w:tc>
          <w:tcPr>
            <w:tcW w:w="4059" w:type="pct"/>
          </w:tcPr>
          <w:p w14:paraId="61D36D29" w14:textId="3AA486F1" w:rsidR="004805E9" w:rsidRPr="001F3797" w:rsidRDefault="00F163EF" w:rsidP="00F63EF9">
            <w:pPr>
              <w:rPr>
                <w:rFonts w:cstheme="minorHAnsi"/>
              </w:rPr>
            </w:pPr>
            <w:r>
              <w:rPr>
                <w:rFonts w:cstheme="minorHAnsi"/>
              </w:rPr>
              <w:t>Total net ingredient cost per patient per drug group multiplied by the quantity of oversupplied product to that patient</w:t>
            </w:r>
          </w:p>
        </w:tc>
      </w:tr>
      <w:tr w:rsidR="00F163EF" w:rsidRPr="001F3797" w14:paraId="0DED4616" w14:textId="77777777" w:rsidTr="0002363D">
        <w:tc>
          <w:tcPr>
            <w:tcW w:w="941" w:type="pct"/>
          </w:tcPr>
          <w:p w14:paraId="7F75D3D9" w14:textId="77777777" w:rsidR="00F163EF" w:rsidRPr="001F3797" w:rsidRDefault="00F163EF" w:rsidP="00F163EF">
            <w:pPr>
              <w:rPr>
                <w:rFonts w:cstheme="minorHAnsi"/>
              </w:rPr>
            </w:pPr>
            <w:r w:rsidRPr="001F3797">
              <w:rPr>
                <w:rFonts w:cstheme="minorHAnsi"/>
              </w:rPr>
              <w:t xml:space="preserve">Denominator </w:t>
            </w:r>
          </w:p>
        </w:tc>
        <w:tc>
          <w:tcPr>
            <w:tcW w:w="4059" w:type="pct"/>
          </w:tcPr>
          <w:p w14:paraId="3A87FC77" w14:textId="3FD648AB" w:rsidR="00F163EF" w:rsidRPr="001F3797" w:rsidRDefault="00F163EF" w:rsidP="00F163EF">
            <w:pPr>
              <w:rPr>
                <w:rFonts w:cstheme="minorHAnsi"/>
              </w:rPr>
            </w:pPr>
            <w:r>
              <w:rPr>
                <w:rFonts w:cstheme="minorHAnsi"/>
              </w:rPr>
              <w:t>The total quantity supplied to the patient</w:t>
            </w:r>
          </w:p>
        </w:tc>
      </w:tr>
      <w:tr w:rsidR="00F163EF" w:rsidRPr="001F3797" w14:paraId="5E9D80C2" w14:textId="77777777" w:rsidTr="0002363D">
        <w:trPr>
          <w:trHeight w:val="1266"/>
        </w:trPr>
        <w:tc>
          <w:tcPr>
            <w:tcW w:w="941" w:type="pct"/>
          </w:tcPr>
          <w:p w14:paraId="62A68033" w14:textId="7734B42F" w:rsidR="00F163EF" w:rsidRPr="001F3797" w:rsidRDefault="00F163EF" w:rsidP="00F163EF">
            <w:pPr>
              <w:rPr>
                <w:rFonts w:cstheme="minorHAnsi"/>
              </w:rPr>
            </w:pPr>
            <w:r w:rsidRPr="001F3797">
              <w:rPr>
                <w:rFonts w:cstheme="minorHAnsi"/>
              </w:rPr>
              <w:t xml:space="preserve">Rationale </w:t>
            </w:r>
            <w:r>
              <w:rPr>
                <w:rFonts w:cstheme="minorHAnsi"/>
              </w:rPr>
              <w:t>/ Comments</w:t>
            </w:r>
          </w:p>
        </w:tc>
        <w:tc>
          <w:tcPr>
            <w:tcW w:w="4059" w:type="pct"/>
          </w:tcPr>
          <w:p w14:paraId="38153136" w14:textId="77777777" w:rsidR="00F163EF" w:rsidRDefault="00F163EF" w:rsidP="00F163EF">
            <w:pPr>
              <w:rPr>
                <w:rFonts w:cstheme="minorHAnsi"/>
              </w:rPr>
            </w:pPr>
            <w:r>
              <w:rPr>
                <w:rFonts w:cstheme="minorHAnsi"/>
              </w:rPr>
              <w:t>This figure is equal to the over threshold NIC. This comparator shows the counterfactual of what potentially could have been saved if oversupplied patients had only received the threshold amount of prescribing.</w:t>
            </w:r>
          </w:p>
          <w:p w14:paraId="4BF40D4B" w14:textId="77777777" w:rsidR="00F163EF" w:rsidRDefault="00F163EF" w:rsidP="00F163EF">
            <w:pPr>
              <w:rPr>
                <w:rFonts w:cstheme="minorHAnsi"/>
              </w:rPr>
            </w:pPr>
          </w:p>
          <w:p w14:paraId="74F4D533" w14:textId="77777777" w:rsidR="00F163EF" w:rsidRDefault="00F163EF" w:rsidP="00F163EF">
            <w:pPr>
              <w:rPr>
                <w:rFonts w:cstheme="minorHAnsi"/>
              </w:rPr>
            </w:pPr>
            <w:r>
              <w:rPr>
                <w:rFonts w:cstheme="minorHAnsi"/>
              </w:rPr>
              <w:t>(Cost if over threshold patients were at threshold) + (Savings if over threshold patients were at threshold) = total NIC</w:t>
            </w:r>
          </w:p>
          <w:p w14:paraId="006320CB" w14:textId="77777777" w:rsidR="00F163EF" w:rsidRDefault="00F163EF" w:rsidP="00F163EF">
            <w:pPr>
              <w:rPr>
                <w:rFonts w:cstheme="minorHAnsi"/>
              </w:rPr>
            </w:pPr>
          </w:p>
          <w:p w14:paraId="289105F0" w14:textId="1C7EDB60" w:rsidR="00F163EF" w:rsidRPr="001F3797" w:rsidRDefault="00F163EF" w:rsidP="00F163EF">
            <w:pPr>
              <w:rPr>
                <w:rFonts w:cstheme="minorHAnsi"/>
              </w:rPr>
            </w:pPr>
            <w:r>
              <w:rPr>
                <w:rFonts w:cstheme="minorHAnsi"/>
              </w:rPr>
              <w:t xml:space="preserve">This figure can be influenced by factors outside of the control of the end user, such as price fluctuations. The over threshold NIC has been proportioned across an individual patient’s costs, however if a patient received significant prescribing prior to a price rise this figure will underestimate savings; </w:t>
            </w:r>
            <w:proofErr w:type="gramStart"/>
            <w:r>
              <w:rPr>
                <w:rFonts w:cstheme="minorHAnsi"/>
              </w:rPr>
              <w:t>likewise</w:t>
            </w:r>
            <w:proofErr w:type="gramEnd"/>
            <w:r>
              <w:rPr>
                <w:rFonts w:cstheme="minorHAnsi"/>
              </w:rPr>
              <w:t xml:space="preserve"> if they received a significant proportion of their prescribing prior to a price drop this figure will overestimate savings.</w:t>
            </w:r>
          </w:p>
        </w:tc>
      </w:tr>
    </w:tbl>
    <w:p w14:paraId="5B6171A2" w14:textId="77777777" w:rsidR="004805E9" w:rsidRPr="00C96ED3" w:rsidRDefault="004805E9" w:rsidP="004805E9"/>
    <w:p w14:paraId="506310B6" w14:textId="77777777" w:rsidR="009E760A" w:rsidRPr="00431E28" w:rsidRDefault="009E760A" w:rsidP="009E760A">
      <w:pPr>
        <w:pStyle w:val="Heading1"/>
        <w:rPr>
          <w:rFonts w:asciiTheme="minorHAnsi" w:hAnsiTheme="minorHAnsi" w:cstheme="minorHAnsi"/>
        </w:rPr>
      </w:pPr>
      <w:bookmarkStart w:id="25" w:name="_Toc165029586"/>
      <w:r w:rsidRPr="00431E28">
        <w:rPr>
          <w:rFonts w:asciiTheme="minorHAnsi" w:hAnsiTheme="minorHAnsi" w:cstheme="minorHAnsi"/>
        </w:rPr>
        <w:t>Patient Identification Rates</w:t>
      </w:r>
      <w:bookmarkEnd w:id="25"/>
    </w:p>
    <w:p w14:paraId="6B105CC3" w14:textId="342FFE39" w:rsidR="00331410" w:rsidRDefault="00331410" w:rsidP="009E760A">
      <w:pPr>
        <w:rPr>
          <w:rFonts w:cstheme="minorHAnsi"/>
        </w:rPr>
      </w:pPr>
      <w:r>
        <w:rPr>
          <w:rFonts w:cstheme="minorHAnsi"/>
        </w:rPr>
        <w:t xml:space="preserve">Since </w:t>
      </w:r>
      <w:r w:rsidR="00D96FDA">
        <w:rPr>
          <w:rFonts w:cstheme="minorHAnsi"/>
        </w:rPr>
        <w:t>July</w:t>
      </w:r>
      <w:r>
        <w:rPr>
          <w:rFonts w:cstheme="minorHAnsi"/>
        </w:rPr>
        <w:t xml:space="preserve"> 2023, there has been a high proportion of items with patient identified across drug groups. Overall, 99.0% of all items included in the dashboard are for identified patients since January 202</w:t>
      </w:r>
      <w:r w:rsidR="00E54A07">
        <w:rPr>
          <w:rFonts w:cstheme="minorHAnsi"/>
        </w:rPr>
        <w:t>2</w:t>
      </w:r>
      <w:r>
        <w:rPr>
          <w:rFonts w:cstheme="minorHAnsi"/>
        </w:rPr>
        <w:t xml:space="preserve">, with </w:t>
      </w:r>
      <w:r w:rsidR="00977E17">
        <w:rPr>
          <w:rFonts w:cstheme="minorHAnsi"/>
        </w:rPr>
        <w:t>377</w:t>
      </w:r>
      <w:r>
        <w:rPr>
          <w:rFonts w:cstheme="minorHAnsi"/>
        </w:rPr>
        <w:t xml:space="preserve"> million items out of 3</w:t>
      </w:r>
      <w:r w:rsidR="00977E17">
        <w:rPr>
          <w:rFonts w:cstheme="minorHAnsi"/>
        </w:rPr>
        <w:t>81</w:t>
      </w:r>
      <w:r>
        <w:rPr>
          <w:rFonts w:cstheme="minorHAnsi"/>
        </w:rPr>
        <w:t xml:space="preserve"> million being dispensed to an identified patient</w:t>
      </w:r>
      <w:r w:rsidR="00E54A07">
        <w:rPr>
          <w:rFonts w:cstheme="minorHAnsi"/>
        </w:rPr>
        <w:t xml:space="preserve"> (</w:t>
      </w:r>
      <w:r w:rsidR="00D96FDA">
        <w:rPr>
          <w:rFonts w:cstheme="minorHAnsi"/>
        </w:rPr>
        <w:t>July</w:t>
      </w:r>
      <w:r w:rsidR="00E54A07">
        <w:rPr>
          <w:rFonts w:cstheme="minorHAnsi"/>
        </w:rPr>
        <w:t xml:space="preserve"> 2022 – </w:t>
      </w:r>
      <w:r w:rsidR="00D96FDA">
        <w:rPr>
          <w:rFonts w:cstheme="minorHAnsi"/>
        </w:rPr>
        <w:t>July</w:t>
      </w:r>
      <w:r w:rsidR="00E54A07">
        <w:rPr>
          <w:rFonts w:cstheme="minorHAnsi"/>
        </w:rPr>
        <w:t xml:space="preserve"> 2024).</w:t>
      </w:r>
    </w:p>
    <w:p w14:paraId="3A271270" w14:textId="72D2CF1F" w:rsidR="00E54A07" w:rsidRDefault="00E54A07" w:rsidP="009E760A">
      <w:pPr>
        <w:rPr>
          <w:rFonts w:cstheme="minorHAnsi"/>
          <w:i/>
          <w:iCs/>
        </w:rPr>
      </w:pPr>
      <w:r w:rsidRPr="00E54A07">
        <w:rPr>
          <w:rFonts w:cstheme="minorHAnsi"/>
          <w:i/>
          <w:iCs/>
        </w:rPr>
        <w:t>Table 8.1: Percentage of items attributed to an identified patient per drug group.</w:t>
      </w:r>
    </w:p>
    <w:tbl>
      <w:tblPr>
        <w:tblStyle w:val="GridTable4-Accent1"/>
        <w:tblW w:w="5005" w:type="dxa"/>
        <w:tblLook w:val="04A0" w:firstRow="1" w:lastRow="0" w:firstColumn="1" w:lastColumn="0" w:noHBand="0" w:noVBand="1"/>
      </w:tblPr>
      <w:tblGrid>
        <w:gridCol w:w="3900"/>
        <w:gridCol w:w="1105"/>
      </w:tblGrid>
      <w:tr w:rsidR="00403661" w:rsidRPr="00693E03" w14:paraId="1DC9A45B" w14:textId="77777777" w:rsidTr="00D62EA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46C533E2" w14:textId="77777777" w:rsidR="00403661" w:rsidRPr="00693E03" w:rsidRDefault="00403661" w:rsidP="00403661">
            <w:pPr>
              <w:rPr>
                <w:rFonts w:cstheme="minorHAnsi"/>
              </w:rPr>
            </w:pPr>
            <w:r>
              <w:rPr>
                <w:rFonts w:cstheme="minorHAnsi"/>
              </w:rPr>
              <w:t>Drug type</w:t>
            </w:r>
          </w:p>
        </w:tc>
        <w:tc>
          <w:tcPr>
            <w:tcW w:w="1105" w:type="dxa"/>
            <w:noWrap/>
            <w:hideMark/>
          </w:tcPr>
          <w:p w14:paraId="1664355A" w14:textId="520A18D9" w:rsidR="00403661" w:rsidRPr="00693E03" w:rsidRDefault="00403661" w:rsidP="00403661">
            <w:pPr>
              <w:cnfStyle w:val="100000000000" w:firstRow="1" w:lastRow="0" w:firstColumn="0" w:lastColumn="0" w:oddVBand="0" w:evenVBand="0" w:oddHBand="0" w:evenHBand="0" w:firstRowFirstColumn="0" w:firstRowLastColumn="0" w:lastRowFirstColumn="0" w:lastRowLastColumn="0"/>
              <w:rPr>
                <w:rFonts w:cstheme="minorHAnsi"/>
              </w:rPr>
            </w:pPr>
            <w:r w:rsidRPr="00403661">
              <w:t>Identified Items</w:t>
            </w:r>
          </w:p>
        </w:tc>
      </w:tr>
      <w:tr w:rsidR="000560B8" w:rsidRPr="00693E03" w14:paraId="7A8AABBC" w14:textId="77777777" w:rsidTr="00D62E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BB2F938" w14:textId="58739BAC" w:rsidR="000560B8" w:rsidRPr="00693E03" w:rsidRDefault="000560B8" w:rsidP="000560B8">
            <w:pPr>
              <w:rPr>
                <w:rFonts w:cstheme="minorHAnsi"/>
              </w:rPr>
            </w:pPr>
            <w:r>
              <w:rPr>
                <w:rFonts w:ascii="Calibri" w:hAnsi="Calibri" w:cs="Calibri"/>
                <w:color w:val="000000"/>
                <w:sz w:val="22"/>
                <w:szCs w:val="22"/>
              </w:rPr>
              <w:t>Antiplatelets excluding aspirin</w:t>
            </w:r>
          </w:p>
        </w:tc>
        <w:tc>
          <w:tcPr>
            <w:tcW w:w="110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C0FC217" w14:textId="2437BEC9" w:rsidR="000560B8" w:rsidRPr="00693E03" w:rsidRDefault="000560B8" w:rsidP="000560B8">
            <w:pPr>
              <w:jc w:val="right"/>
              <w:cnfStyle w:val="000000100000" w:firstRow="0" w:lastRow="0" w:firstColumn="0" w:lastColumn="0" w:oddVBand="0" w:evenVBand="0" w:oddHBand="1" w:evenHBand="0" w:firstRowFirstColumn="0" w:firstRowLastColumn="0" w:lastRowFirstColumn="0" w:lastRowLastColumn="0"/>
              <w:rPr>
                <w:rFonts w:cstheme="minorHAnsi"/>
              </w:rPr>
            </w:pPr>
            <w:r>
              <w:rPr>
                <w:rFonts w:ascii="Calibri" w:hAnsi="Calibri" w:cs="Calibri"/>
                <w:color w:val="000000"/>
                <w:sz w:val="22"/>
                <w:szCs w:val="22"/>
              </w:rPr>
              <w:t>99.1%</w:t>
            </w:r>
          </w:p>
        </w:tc>
      </w:tr>
      <w:tr w:rsidR="000560B8" w:rsidRPr="00693E03" w14:paraId="1E08CF1C" w14:textId="77777777" w:rsidTr="00D62EA5">
        <w:trPr>
          <w:trHeight w:val="300"/>
        </w:trPr>
        <w:tc>
          <w:tcPr>
            <w:cnfStyle w:val="001000000000" w:firstRow="0" w:lastRow="0" w:firstColumn="1" w:lastColumn="0" w:oddVBand="0" w:evenVBand="0" w:oddHBand="0" w:evenHBand="0" w:firstRowFirstColumn="0" w:firstRowLastColumn="0" w:lastRowFirstColumn="0" w:lastRowLastColumn="0"/>
            <w:tcW w:w="3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B5564" w14:textId="2F62A09C" w:rsidR="000560B8" w:rsidRPr="00693E03" w:rsidRDefault="000560B8" w:rsidP="000560B8">
            <w:pPr>
              <w:rPr>
                <w:rFonts w:cstheme="minorHAnsi"/>
              </w:rPr>
            </w:pPr>
            <w:r>
              <w:rPr>
                <w:rFonts w:ascii="Calibri" w:hAnsi="Calibri" w:cs="Calibri"/>
                <w:color w:val="000000"/>
                <w:sz w:val="22"/>
                <w:szCs w:val="22"/>
              </w:rPr>
              <w:t>Aspirin 75mg</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7AE2D" w14:textId="3ABD590D" w:rsidR="000560B8" w:rsidRPr="00693E03" w:rsidRDefault="000560B8" w:rsidP="000560B8">
            <w:pPr>
              <w:jc w:val="right"/>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sz w:val="22"/>
                <w:szCs w:val="22"/>
              </w:rPr>
              <w:t>99.1%</w:t>
            </w:r>
          </w:p>
        </w:tc>
      </w:tr>
      <w:tr w:rsidR="000560B8" w:rsidRPr="00693E03" w14:paraId="2E0B669A" w14:textId="77777777" w:rsidTr="00D62E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2FE3186" w14:textId="6EDD4901" w:rsidR="000560B8" w:rsidRPr="00693E03" w:rsidRDefault="000560B8" w:rsidP="000560B8">
            <w:pPr>
              <w:rPr>
                <w:rFonts w:cstheme="minorHAnsi"/>
              </w:rPr>
            </w:pPr>
            <w:r>
              <w:rPr>
                <w:rFonts w:ascii="Calibri" w:hAnsi="Calibri" w:cs="Calibri"/>
                <w:color w:val="000000"/>
                <w:sz w:val="22"/>
                <w:szCs w:val="22"/>
              </w:rPr>
              <w:t>Blood Glucose Sensors</w:t>
            </w:r>
          </w:p>
        </w:tc>
        <w:tc>
          <w:tcPr>
            <w:tcW w:w="110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CBEBF09" w14:textId="41B847E0" w:rsidR="000560B8" w:rsidRPr="00693E03" w:rsidRDefault="000560B8" w:rsidP="000560B8">
            <w:pPr>
              <w:jc w:val="right"/>
              <w:cnfStyle w:val="000000100000" w:firstRow="0" w:lastRow="0" w:firstColumn="0" w:lastColumn="0" w:oddVBand="0" w:evenVBand="0" w:oddHBand="1" w:evenHBand="0" w:firstRowFirstColumn="0" w:firstRowLastColumn="0" w:lastRowFirstColumn="0" w:lastRowLastColumn="0"/>
              <w:rPr>
                <w:rFonts w:cstheme="minorHAnsi"/>
              </w:rPr>
            </w:pPr>
            <w:r>
              <w:rPr>
                <w:rFonts w:ascii="Calibri" w:hAnsi="Calibri" w:cs="Calibri"/>
                <w:color w:val="000000"/>
                <w:sz w:val="22"/>
                <w:szCs w:val="22"/>
              </w:rPr>
              <w:t>99.2%</w:t>
            </w:r>
          </w:p>
        </w:tc>
      </w:tr>
      <w:tr w:rsidR="000560B8" w:rsidRPr="00693E03" w14:paraId="1099BB98" w14:textId="77777777" w:rsidTr="00D62EA5">
        <w:trPr>
          <w:trHeight w:val="300"/>
        </w:trPr>
        <w:tc>
          <w:tcPr>
            <w:cnfStyle w:val="001000000000" w:firstRow="0" w:lastRow="0" w:firstColumn="1" w:lastColumn="0" w:oddVBand="0" w:evenVBand="0" w:oddHBand="0" w:evenHBand="0" w:firstRowFirstColumn="0" w:firstRowLastColumn="0" w:lastRowFirstColumn="0" w:lastRowLastColumn="0"/>
            <w:tcW w:w="3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BDD84" w14:textId="7CCC5AB6" w:rsidR="000560B8" w:rsidRPr="00693E03" w:rsidRDefault="000560B8" w:rsidP="000560B8">
            <w:pPr>
              <w:rPr>
                <w:rFonts w:cstheme="minorHAnsi"/>
              </w:rPr>
            </w:pPr>
            <w:r>
              <w:rPr>
                <w:rFonts w:ascii="Calibri" w:hAnsi="Calibri" w:cs="Calibri"/>
                <w:color w:val="000000"/>
                <w:sz w:val="22"/>
                <w:szCs w:val="22"/>
              </w:rPr>
              <w:t>Blood Glucose Testing Strips</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DD3F0" w14:textId="73149E31" w:rsidR="000560B8" w:rsidRPr="00693E03" w:rsidRDefault="000560B8" w:rsidP="000560B8">
            <w:pPr>
              <w:jc w:val="right"/>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sz w:val="22"/>
                <w:szCs w:val="22"/>
              </w:rPr>
              <w:t>99.4%</w:t>
            </w:r>
          </w:p>
        </w:tc>
      </w:tr>
      <w:tr w:rsidR="000560B8" w:rsidRPr="00693E03" w14:paraId="187D81B1" w14:textId="77777777" w:rsidTr="00D62E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4BE7DC6" w14:textId="6BCA2485" w:rsidR="000560B8" w:rsidRPr="00693E03" w:rsidRDefault="000560B8" w:rsidP="000560B8">
            <w:pPr>
              <w:rPr>
                <w:rFonts w:cstheme="minorHAnsi"/>
              </w:rPr>
            </w:pPr>
            <w:r>
              <w:rPr>
                <w:rFonts w:ascii="Calibri" w:hAnsi="Calibri" w:cs="Calibri"/>
                <w:color w:val="000000"/>
                <w:sz w:val="22"/>
                <w:szCs w:val="22"/>
              </w:rPr>
              <w:t>Inhalers</w:t>
            </w:r>
          </w:p>
        </w:tc>
        <w:tc>
          <w:tcPr>
            <w:tcW w:w="110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AEC00AD" w14:textId="1182136A" w:rsidR="000560B8" w:rsidRPr="00693E03" w:rsidRDefault="000560B8" w:rsidP="000560B8">
            <w:pPr>
              <w:jc w:val="right"/>
              <w:cnfStyle w:val="000000100000" w:firstRow="0" w:lastRow="0" w:firstColumn="0" w:lastColumn="0" w:oddVBand="0" w:evenVBand="0" w:oddHBand="1" w:evenHBand="0" w:firstRowFirstColumn="0" w:firstRowLastColumn="0" w:lastRowFirstColumn="0" w:lastRowLastColumn="0"/>
              <w:rPr>
                <w:rFonts w:cstheme="minorHAnsi"/>
              </w:rPr>
            </w:pPr>
            <w:r>
              <w:rPr>
                <w:rFonts w:ascii="Calibri" w:hAnsi="Calibri" w:cs="Calibri"/>
                <w:color w:val="000000"/>
                <w:sz w:val="22"/>
                <w:szCs w:val="22"/>
              </w:rPr>
              <w:t>99.1%</w:t>
            </w:r>
          </w:p>
        </w:tc>
      </w:tr>
      <w:tr w:rsidR="000560B8" w:rsidRPr="00693E03" w14:paraId="503EC996" w14:textId="77777777" w:rsidTr="00D62EA5">
        <w:trPr>
          <w:trHeight w:val="300"/>
        </w:trPr>
        <w:tc>
          <w:tcPr>
            <w:cnfStyle w:val="001000000000" w:firstRow="0" w:lastRow="0" w:firstColumn="1" w:lastColumn="0" w:oddVBand="0" w:evenVBand="0" w:oddHBand="0" w:evenHBand="0" w:firstRowFirstColumn="0" w:firstRowLastColumn="0" w:lastRowFirstColumn="0" w:lastRowLastColumn="0"/>
            <w:tcW w:w="3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53221" w14:textId="28253259" w:rsidR="000560B8" w:rsidRPr="00693E03" w:rsidRDefault="000560B8" w:rsidP="000560B8">
            <w:pPr>
              <w:rPr>
                <w:rFonts w:cstheme="minorHAnsi"/>
              </w:rPr>
            </w:pPr>
            <w:r>
              <w:rPr>
                <w:rFonts w:ascii="Calibri" w:hAnsi="Calibri" w:cs="Calibri"/>
                <w:color w:val="000000"/>
                <w:sz w:val="22"/>
                <w:szCs w:val="22"/>
              </w:rPr>
              <w:t>Laxatives</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0D2C2" w14:textId="1DBB93D8" w:rsidR="000560B8" w:rsidRPr="00693E03" w:rsidRDefault="000560B8" w:rsidP="000560B8">
            <w:pPr>
              <w:jc w:val="right"/>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sz w:val="22"/>
                <w:szCs w:val="22"/>
              </w:rPr>
              <w:t>98.7%</w:t>
            </w:r>
          </w:p>
        </w:tc>
      </w:tr>
      <w:tr w:rsidR="000560B8" w:rsidRPr="00693E03" w14:paraId="2DFC205A" w14:textId="77777777" w:rsidTr="00D62E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00" w:type="dxa"/>
            <w:tcBorders>
              <w:top w:val="single" w:sz="4" w:space="0" w:color="auto"/>
              <w:left w:val="single" w:sz="4" w:space="0" w:color="auto"/>
              <w:bottom w:val="single" w:sz="4" w:space="0" w:color="auto"/>
              <w:right w:val="single" w:sz="4" w:space="0" w:color="auto"/>
            </w:tcBorders>
            <w:shd w:val="clear" w:color="D9E1F2" w:fill="D9E1F2"/>
            <w:noWrap/>
            <w:vAlign w:val="bottom"/>
          </w:tcPr>
          <w:p w14:paraId="6A9B7DE2" w14:textId="2C53C88B" w:rsidR="000560B8" w:rsidRPr="00693E03" w:rsidRDefault="000560B8" w:rsidP="000560B8">
            <w:pPr>
              <w:rPr>
                <w:rFonts w:cstheme="minorHAnsi"/>
              </w:rPr>
            </w:pPr>
            <w:r>
              <w:rPr>
                <w:rFonts w:ascii="Calibri" w:hAnsi="Calibri" w:cs="Calibri"/>
                <w:color w:val="000000"/>
                <w:sz w:val="22"/>
                <w:szCs w:val="22"/>
              </w:rPr>
              <w:t>Oral Anticoagulants</w:t>
            </w:r>
          </w:p>
        </w:tc>
        <w:tc>
          <w:tcPr>
            <w:tcW w:w="1105" w:type="dxa"/>
            <w:tcBorders>
              <w:top w:val="single" w:sz="4" w:space="0" w:color="auto"/>
              <w:left w:val="single" w:sz="4" w:space="0" w:color="auto"/>
              <w:bottom w:val="single" w:sz="4" w:space="0" w:color="auto"/>
              <w:right w:val="single" w:sz="4" w:space="0" w:color="auto"/>
            </w:tcBorders>
            <w:shd w:val="clear" w:color="D9E1F2" w:fill="D9E1F2"/>
            <w:noWrap/>
            <w:vAlign w:val="bottom"/>
          </w:tcPr>
          <w:p w14:paraId="6A39298E" w14:textId="5571E03C" w:rsidR="000560B8" w:rsidRPr="00910920" w:rsidRDefault="000560B8" w:rsidP="000560B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98.8%</w:t>
            </w:r>
          </w:p>
        </w:tc>
      </w:tr>
      <w:tr w:rsidR="000560B8" w:rsidRPr="00693E03" w14:paraId="35D9A5AE" w14:textId="77777777" w:rsidTr="00D62EA5">
        <w:trPr>
          <w:trHeight w:val="300"/>
        </w:trPr>
        <w:tc>
          <w:tcPr>
            <w:cnfStyle w:val="001000000000" w:firstRow="0" w:lastRow="0" w:firstColumn="1" w:lastColumn="0" w:oddVBand="0" w:evenVBand="0" w:oddHBand="0" w:evenHBand="0" w:firstRowFirstColumn="0" w:firstRowLastColumn="0" w:lastRowFirstColumn="0" w:lastRowLastColumn="0"/>
            <w:tcW w:w="3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867DF" w14:textId="7914D664" w:rsidR="000560B8" w:rsidRPr="00693E03" w:rsidRDefault="000560B8" w:rsidP="000560B8">
            <w:pPr>
              <w:rPr>
                <w:rFonts w:cstheme="minorHAnsi"/>
              </w:rPr>
            </w:pPr>
            <w:r>
              <w:rPr>
                <w:rFonts w:ascii="Calibri" w:hAnsi="Calibri" w:cs="Calibri"/>
                <w:color w:val="000000"/>
                <w:sz w:val="22"/>
                <w:szCs w:val="22"/>
              </w:rPr>
              <w:t>Oral Nutritional Supplements</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58A77" w14:textId="398F1F42" w:rsidR="000560B8" w:rsidRPr="00693E03" w:rsidRDefault="000560B8" w:rsidP="000560B8">
            <w:pPr>
              <w:jc w:val="right"/>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sz w:val="22"/>
                <w:szCs w:val="22"/>
              </w:rPr>
              <w:t>98.6%</w:t>
            </w:r>
          </w:p>
        </w:tc>
      </w:tr>
      <w:tr w:rsidR="000560B8" w:rsidRPr="00693E03" w14:paraId="2A3AC974" w14:textId="77777777" w:rsidTr="00D62E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9B5C88B" w14:textId="4FA23961" w:rsidR="000560B8" w:rsidRPr="00693E03" w:rsidRDefault="000560B8" w:rsidP="000560B8">
            <w:pPr>
              <w:rPr>
                <w:rFonts w:cstheme="minorHAnsi"/>
              </w:rPr>
            </w:pPr>
            <w:r>
              <w:rPr>
                <w:rFonts w:ascii="Calibri" w:hAnsi="Calibri" w:cs="Calibri"/>
                <w:color w:val="000000"/>
                <w:sz w:val="22"/>
                <w:szCs w:val="22"/>
              </w:rPr>
              <w:t>Paediatric Oral Nutritional Supplements</w:t>
            </w:r>
          </w:p>
        </w:tc>
        <w:tc>
          <w:tcPr>
            <w:tcW w:w="110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DDB6F83" w14:textId="590B47B3" w:rsidR="000560B8" w:rsidRPr="00693E03" w:rsidRDefault="000560B8" w:rsidP="000560B8">
            <w:pPr>
              <w:jc w:val="right"/>
              <w:cnfStyle w:val="000000100000" w:firstRow="0" w:lastRow="0" w:firstColumn="0" w:lastColumn="0" w:oddVBand="0" w:evenVBand="0" w:oddHBand="1" w:evenHBand="0" w:firstRowFirstColumn="0" w:firstRowLastColumn="0" w:lastRowFirstColumn="0" w:lastRowLastColumn="0"/>
              <w:rPr>
                <w:rFonts w:cstheme="minorHAnsi"/>
              </w:rPr>
            </w:pPr>
            <w:r>
              <w:rPr>
                <w:rFonts w:ascii="Calibri" w:hAnsi="Calibri" w:cs="Calibri"/>
                <w:color w:val="000000"/>
                <w:sz w:val="22"/>
                <w:szCs w:val="22"/>
              </w:rPr>
              <w:t>99.1%</w:t>
            </w:r>
          </w:p>
        </w:tc>
      </w:tr>
      <w:tr w:rsidR="000560B8" w:rsidRPr="00693E03" w14:paraId="39846F51" w14:textId="77777777" w:rsidTr="00D62EA5">
        <w:trPr>
          <w:trHeight w:val="300"/>
        </w:trPr>
        <w:tc>
          <w:tcPr>
            <w:cnfStyle w:val="001000000000" w:firstRow="0" w:lastRow="0" w:firstColumn="1" w:lastColumn="0" w:oddVBand="0" w:evenVBand="0" w:oddHBand="0" w:evenHBand="0" w:firstRowFirstColumn="0" w:firstRowLastColumn="0" w:lastRowFirstColumn="0" w:lastRowLastColumn="0"/>
            <w:tcW w:w="3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F20D6" w14:textId="1495D81B" w:rsidR="000560B8" w:rsidRPr="00693E03" w:rsidRDefault="000560B8" w:rsidP="000560B8">
            <w:pPr>
              <w:rPr>
                <w:rFonts w:cstheme="minorHAnsi"/>
              </w:rPr>
            </w:pPr>
            <w:r>
              <w:rPr>
                <w:rFonts w:ascii="Calibri" w:hAnsi="Calibri" w:cs="Calibri"/>
                <w:color w:val="000000"/>
                <w:sz w:val="22"/>
                <w:szCs w:val="22"/>
              </w:rPr>
              <w:t>Statins</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B8655" w14:textId="5EE21A79" w:rsidR="000560B8" w:rsidRPr="00693E03" w:rsidRDefault="000560B8" w:rsidP="000560B8">
            <w:pPr>
              <w:jc w:val="right"/>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sz w:val="22"/>
                <w:szCs w:val="22"/>
              </w:rPr>
              <w:t>99.1%</w:t>
            </w:r>
          </w:p>
        </w:tc>
      </w:tr>
    </w:tbl>
    <w:p w14:paraId="6526B593" w14:textId="77777777" w:rsidR="00331410" w:rsidRDefault="00331410" w:rsidP="009E760A">
      <w:pPr>
        <w:rPr>
          <w:rFonts w:cstheme="minorHAnsi"/>
        </w:rPr>
      </w:pPr>
    </w:p>
    <w:p w14:paraId="50C7183C" w14:textId="3A8BC5EA" w:rsidR="009E760A" w:rsidRDefault="00E54A07" w:rsidP="009E760A">
      <w:pPr>
        <w:rPr>
          <w:rFonts w:cstheme="minorHAnsi"/>
        </w:rPr>
      </w:pPr>
      <w:r>
        <w:rPr>
          <w:rFonts w:cstheme="minorHAnsi"/>
        </w:rPr>
        <w:t xml:space="preserve">Items which have not been attributed to an identified patient have not been included within the dashboard and may or may not </w:t>
      </w:r>
      <w:r w:rsidR="00CA561A">
        <w:rPr>
          <w:rFonts w:cstheme="minorHAnsi"/>
        </w:rPr>
        <w:t>be oversupply.</w:t>
      </w:r>
    </w:p>
    <w:p w14:paraId="22DA5042" w14:textId="6005930D" w:rsidR="00CA561A" w:rsidRPr="00CA561A" w:rsidRDefault="00CA561A" w:rsidP="009E760A">
      <w:pPr>
        <w:rPr>
          <w:rFonts w:cstheme="minorHAnsi"/>
          <w:i/>
          <w:iCs/>
        </w:rPr>
      </w:pPr>
      <w:r w:rsidRPr="00CA561A">
        <w:rPr>
          <w:rFonts w:cstheme="minorHAnsi"/>
          <w:i/>
          <w:iCs/>
        </w:rPr>
        <w:t>Chart 8.2 Percentage of items attributed to an identified patient per month.</w:t>
      </w:r>
    </w:p>
    <w:p w14:paraId="70DCED77" w14:textId="72362575" w:rsidR="00CA561A" w:rsidRPr="001F3797" w:rsidRDefault="00264FF1" w:rsidP="009E760A">
      <w:pPr>
        <w:rPr>
          <w:rFonts w:cstheme="minorHAnsi"/>
        </w:rPr>
      </w:pPr>
      <w:r>
        <w:rPr>
          <w:rFonts w:cstheme="minorHAnsi"/>
          <w:noProof/>
        </w:rPr>
        <w:drawing>
          <wp:inline distT="0" distB="0" distL="0" distR="0" wp14:anchorId="398B1190" wp14:editId="7BDE30B6">
            <wp:extent cx="5854065" cy="2688863"/>
            <wp:effectExtent l="0" t="0" r="0" b="0"/>
            <wp:docPr id="815708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0637" cy="2696475"/>
                    </a:xfrm>
                    <a:prstGeom prst="rect">
                      <a:avLst/>
                    </a:prstGeom>
                    <a:noFill/>
                  </pic:spPr>
                </pic:pic>
              </a:graphicData>
            </a:graphic>
          </wp:inline>
        </w:drawing>
      </w:r>
    </w:p>
    <w:p w14:paraId="0690A024" w14:textId="1EABDC46" w:rsidR="003623C3" w:rsidRPr="00431E28" w:rsidRDefault="003623C3" w:rsidP="003629ED">
      <w:pPr>
        <w:pStyle w:val="Heading1"/>
        <w:rPr>
          <w:rFonts w:asciiTheme="minorHAnsi" w:hAnsiTheme="minorHAnsi" w:cstheme="minorHAnsi"/>
        </w:rPr>
      </w:pPr>
      <w:bookmarkStart w:id="26" w:name="_Toc165029587"/>
      <w:r w:rsidRPr="00431E28">
        <w:rPr>
          <w:rFonts w:asciiTheme="minorHAnsi" w:hAnsiTheme="minorHAnsi" w:cstheme="minorHAnsi"/>
        </w:rPr>
        <w:lastRenderedPageBreak/>
        <w:t xml:space="preserve">Appendix </w:t>
      </w:r>
      <w:r w:rsidR="00ED65D7" w:rsidRPr="00431E28">
        <w:rPr>
          <w:rFonts w:asciiTheme="minorHAnsi" w:hAnsiTheme="minorHAnsi" w:cstheme="minorHAnsi"/>
        </w:rPr>
        <w:t>1</w:t>
      </w:r>
      <w:r w:rsidRPr="00431E28">
        <w:rPr>
          <w:rFonts w:asciiTheme="minorHAnsi" w:hAnsiTheme="minorHAnsi" w:cstheme="minorHAnsi"/>
        </w:rPr>
        <w:t xml:space="preserve">: </w:t>
      </w:r>
      <w:r w:rsidR="00155D3A">
        <w:rPr>
          <w:rFonts w:asciiTheme="minorHAnsi" w:hAnsiTheme="minorHAnsi" w:cstheme="minorHAnsi"/>
        </w:rPr>
        <w:t>M</w:t>
      </w:r>
      <w:r w:rsidR="002F29ED" w:rsidRPr="00431E28">
        <w:rPr>
          <w:rFonts w:asciiTheme="minorHAnsi" w:hAnsiTheme="minorHAnsi" w:cstheme="minorHAnsi"/>
        </w:rPr>
        <w:t xml:space="preserve">edicine </w:t>
      </w:r>
      <w:r w:rsidR="00155D3A">
        <w:rPr>
          <w:rFonts w:asciiTheme="minorHAnsi" w:hAnsiTheme="minorHAnsi" w:cstheme="minorHAnsi"/>
        </w:rPr>
        <w:t>group details</w:t>
      </w:r>
      <w:bookmarkEnd w:id="26"/>
    </w:p>
    <w:p w14:paraId="0830346C" w14:textId="10D3C629" w:rsidR="00B65078" w:rsidRPr="001F3797" w:rsidRDefault="00B65078" w:rsidP="00A45C76">
      <w:pPr>
        <w:ind w:firstLine="360"/>
        <w:rPr>
          <w:rFonts w:cstheme="minorHAnsi"/>
        </w:rPr>
      </w:pPr>
      <w:r w:rsidRPr="001F3797">
        <w:rPr>
          <w:rFonts w:cstheme="minorHAnsi"/>
        </w:rPr>
        <w:t xml:space="preserve">The comma separated </w:t>
      </w:r>
      <w:r w:rsidR="00A45C76">
        <w:rPr>
          <w:rFonts w:cstheme="minorHAnsi"/>
        </w:rPr>
        <w:t>values (csv)</w:t>
      </w:r>
      <w:r w:rsidRPr="001F3797">
        <w:rPr>
          <w:rFonts w:cstheme="minorHAnsi"/>
        </w:rPr>
        <w:t xml:space="preserve"> file include the lists of products by BNF code </w:t>
      </w:r>
      <w:r w:rsidR="00205AF5">
        <w:rPr>
          <w:rFonts w:cstheme="minorHAnsi"/>
        </w:rPr>
        <w:t xml:space="preserve">as </w:t>
      </w:r>
      <w:r w:rsidRPr="001F3797">
        <w:rPr>
          <w:rFonts w:cstheme="minorHAnsi"/>
        </w:rPr>
        <w:t xml:space="preserve">of </w:t>
      </w:r>
      <w:r w:rsidR="00B60805">
        <w:rPr>
          <w:rFonts w:cstheme="minorHAnsi"/>
        </w:rPr>
        <w:t>April 2024</w:t>
      </w:r>
      <w:r w:rsidRPr="001F3797">
        <w:rPr>
          <w:rFonts w:cstheme="minorHAnsi"/>
        </w:rPr>
        <w:t>.</w:t>
      </w:r>
      <w:r w:rsidR="00205AF5">
        <w:rPr>
          <w:rFonts w:cstheme="minorHAnsi"/>
        </w:rPr>
        <w:t xml:space="preserve"> </w:t>
      </w:r>
      <w:r w:rsidR="00B60805">
        <w:rPr>
          <w:rFonts w:cstheme="minorHAnsi"/>
        </w:rPr>
        <w:t xml:space="preserve">This file contains the </w:t>
      </w:r>
      <w:r w:rsidR="00DC3DE2">
        <w:rPr>
          <w:rFonts w:cstheme="minorHAnsi"/>
        </w:rPr>
        <w:t>drug groupings, BNF code, presentation, and weighting for each presentation.</w:t>
      </w:r>
    </w:p>
    <w:p w14:paraId="15FB4ECF" w14:textId="09BAC736" w:rsidR="004D3ACD" w:rsidRDefault="00B65078" w:rsidP="00B60805">
      <w:pPr>
        <w:ind w:firstLine="360"/>
        <w:rPr>
          <w:rFonts w:cstheme="minorHAnsi"/>
        </w:rPr>
      </w:pPr>
      <w:r w:rsidRPr="001F3797">
        <w:rPr>
          <w:rFonts w:cstheme="minorHAnsi"/>
        </w:rPr>
        <w:t xml:space="preserve">  </w:t>
      </w:r>
      <w:r w:rsidR="005E67F3">
        <w:rPr>
          <w:rFonts w:cstheme="minorHAnsi"/>
        </w:rPr>
        <w:object w:dxaOrig="1513" w:dyaOrig="985" w14:anchorId="5D7915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6pt;height:49.2pt" o:ole="">
            <v:imagedata r:id="rId13" o:title=""/>
          </v:shape>
          <o:OLEObject Type="Embed" ProgID="Excel.Sheet.12" ShapeID="_x0000_i1029" DrawAspect="Icon" ObjectID="_1818589276" r:id="rId14"/>
        </w:object>
      </w:r>
    </w:p>
    <w:p w14:paraId="0DA708A5" w14:textId="77777777" w:rsidR="00403661" w:rsidRPr="00431E28" w:rsidRDefault="00403661" w:rsidP="00B60805">
      <w:pPr>
        <w:ind w:firstLine="360"/>
        <w:rPr>
          <w:rFonts w:eastAsiaTheme="majorEastAsia" w:cstheme="minorHAnsi"/>
          <w:color w:val="0070C0"/>
          <w:sz w:val="24"/>
          <w:szCs w:val="24"/>
        </w:rPr>
      </w:pPr>
    </w:p>
    <w:p w14:paraId="38CD6228" w14:textId="3C6B0871" w:rsidR="003629ED" w:rsidRPr="00431E28" w:rsidRDefault="003629ED" w:rsidP="003629ED">
      <w:pPr>
        <w:pStyle w:val="Heading1"/>
        <w:rPr>
          <w:rFonts w:asciiTheme="minorHAnsi" w:hAnsiTheme="minorHAnsi" w:cstheme="minorHAnsi"/>
        </w:rPr>
      </w:pPr>
      <w:bookmarkStart w:id="27" w:name="_Toc165029588"/>
      <w:r w:rsidRPr="00431E28">
        <w:rPr>
          <w:rFonts w:asciiTheme="minorHAnsi" w:hAnsiTheme="minorHAnsi" w:cstheme="minorHAnsi"/>
        </w:rPr>
        <w:t xml:space="preserve">Appendix </w:t>
      </w:r>
      <w:r w:rsidR="00DC3DE2">
        <w:rPr>
          <w:rFonts w:asciiTheme="minorHAnsi" w:hAnsiTheme="minorHAnsi" w:cstheme="minorHAnsi"/>
        </w:rPr>
        <w:t>2</w:t>
      </w:r>
      <w:r w:rsidRPr="00431E28">
        <w:rPr>
          <w:rFonts w:asciiTheme="minorHAnsi" w:hAnsiTheme="minorHAnsi" w:cstheme="minorHAnsi"/>
        </w:rPr>
        <w:t xml:space="preserve">: </w:t>
      </w:r>
      <w:r w:rsidR="00AD571B">
        <w:rPr>
          <w:rFonts w:asciiTheme="minorHAnsi" w:hAnsiTheme="minorHAnsi" w:cstheme="minorHAnsi"/>
        </w:rPr>
        <w:t>Working group and other advisors</w:t>
      </w:r>
      <w:bookmarkEnd w:id="27"/>
    </w:p>
    <w:p w14:paraId="75A20A32" w14:textId="24CAAC59" w:rsidR="00667B5D" w:rsidRDefault="00667B5D" w:rsidP="00667B5D">
      <w:pPr>
        <w:rPr>
          <w:rFonts w:cstheme="minorHAnsi"/>
        </w:rPr>
      </w:pPr>
    </w:p>
    <w:p w14:paraId="2AAF3561" w14:textId="470D7C74" w:rsidR="00F65916" w:rsidRDefault="00F65916" w:rsidP="00F65916">
      <w:pPr>
        <w:pStyle w:val="NoSpacing"/>
        <w:rPr>
          <w:rFonts w:eastAsiaTheme="majorEastAsia" w:cstheme="minorHAnsi"/>
          <w:bCs/>
          <w:color w:val="0070C0"/>
          <w:sz w:val="24"/>
          <w:szCs w:val="24"/>
        </w:rPr>
      </w:pPr>
      <w:r w:rsidRPr="00A45C76">
        <w:rPr>
          <w:rFonts w:eastAsiaTheme="majorEastAsia" w:cstheme="minorHAnsi"/>
          <w:bCs/>
          <w:color w:val="0070C0"/>
          <w:sz w:val="24"/>
          <w:szCs w:val="24"/>
        </w:rPr>
        <w:t>Th</w:t>
      </w:r>
      <w:r w:rsidR="007A69A4">
        <w:rPr>
          <w:rFonts w:eastAsiaTheme="majorEastAsia" w:cstheme="minorHAnsi"/>
          <w:bCs/>
          <w:color w:val="0070C0"/>
          <w:sz w:val="24"/>
          <w:szCs w:val="24"/>
        </w:rPr>
        <w:t>e Oversupply</w:t>
      </w:r>
      <w:r w:rsidRPr="00A45C76">
        <w:rPr>
          <w:rFonts w:eastAsiaTheme="majorEastAsia" w:cstheme="minorHAnsi"/>
          <w:bCs/>
          <w:color w:val="0070C0"/>
          <w:sz w:val="24"/>
          <w:szCs w:val="24"/>
        </w:rPr>
        <w:t xml:space="preserve"> Working Group</w:t>
      </w:r>
      <w:r w:rsidR="00625DEF">
        <w:rPr>
          <w:rFonts w:eastAsiaTheme="majorEastAsia" w:cstheme="minorHAnsi"/>
          <w:bCs/>
          <w:color w:val="0070C0"/>
          <w:sz w:val="24"/>
          <w:szCs w:val="24"/>
        </w:rPr>
        <w:t xml:space="preserve"> and other advisors</w:t>
      </w:r>
    </w:p>
    <w:p w14:paraId="4D5301DB" w14:textId="77777777" w:rsidR="007A69A4" w:rsidRDefault="007A69A4" w:rsidP="00F65916">
      <w:pPr>
        <w:pStyle w:val="NoSpacing"/>
        <w:rPr>
          <w:rFonts w:eastAsiaTheme="majorEastAsia" w:cstheme="minorHAnsi"/>
          <w:bCs/>
          <w:color w:val="0070C0"/>
          <w:sz w:val="24"/>
          <w:szCs w:val="24"/>
        </w:rPr>
      </w:pPr>
    </w:p>
    <w:p w14:paraId="78BA54B7" w14:textId="3E17BEC0" w:rsidR="007A69A4" w:rsidRDefault="007A69A4" w:rsidP="00F65916">
      <w:pPr>
        <w:pStyle w:val="NoSpacing"/>
        <w:rPr>
          <w:rStyle w:val="SubtleEmphasis"/>
          <w:i w:val="0"/>
          <w:iCs w:val="0"/>
          <w:color w:val="000000" w:themeColor="text1"/>
          <w:sz w:val="20"/>
          <w:szCs w:val="20"/>
        </w:rPr>
      </w:pPr>
      <w:r>
        <w:rPr>
          <w:rStyle w:val="SubtleEmphasis"/>
          <w:i w:val="0"/>
          <w:iCs w:val="0"/>
          <w:color w:val="000000" w:themeColor="text1"/>
          <w:sz w:val="20"/>
          <w:szCs w:val="20"/>
        </w:rPr>
        <w:t>We extend our thanks to the following members of the oversupply working group</w:t>
      </w:r>
      <w:r w:rsidR="00625DEF">
        <w:rPr>
          <w:rStyle w:val="SubtleEmphasis"/>
          <w:i w:val="0"/>
          <w:iCs w:val="0"/>
          <w:color w:val="000000" w:themeColor="text1"/>
          <w:sz w:val="20"/>
          <w:szCs w:val="20"/>
        </w:rPr>
        <w:t xml:space="preserve"> and other advisors</w:t>
      </w:r>
      <w:r>
        <w:rPr>
          <w:rStyle w:val="SubtleEmphasis"/>
          <w:i w:val="0"/>
          <w:iCs w:val="0"/>
          <w:color w:val="000000" w:themeColor="text1"/>
          <w:sz w:val="20"/>
          <w:szCs w:val="20"/>
        </w:rPr>
        <w:t xml:space="preserve"> for their assistance in developing the dashboard:</w:t>
      </w:r>
    </w:p>
    <w:p w14:paraId="122FCC1B" w14:textId="77777777" w:rsidR="007A69A4" w:rsidRDefault="007A69A4" w:rsidP="00F65916">
      <w:pPr>
        <w:pStyle w:val="NoSpacing"/>
        <w:rPr>
          <w:rStyle w:val="SubtleEmphasis"/>
          <w:i w:val="0"/>
          <w:iCs w:val="0"/>
          <w:color w:val="000000" w:themeColor="text1"/>
          <w:sz w:val="20"/>
          <w:szCs w:val="20"/>
        </w:rPr>
      </w:pPr>
    </w:p>
    <w:p w14:paraId="35A9A327" w14:textId="487C3460" w:rsidR="007A69A4" w:rsidRDefault="007A69A4" w:rsidP="00F65916">
      <w:pPr>
        <w:pStyle w:val="NoSpacing"/>
        <w:rPr>
          <w:rStyle w:val="SubtleEmphasis"/>
          <w:i w:val="0"/>
          <w:iCs w:val="0"/>
          <w:color w:val="000000" w:themeColor="text1"/>
          <w:sz w:val="20"/>
          <w:szCs w:val="20"/>
        </w:rPr>
      </w:pPr>
      <w:r>
        <w:rPr>
          <w:rStyle w:val="SubtleEmphasis"/>
          <w:i w:val="0"/>
          <w:iCs w:val="0"/>
          <w:color w:val="000000" w:themeColor="text1"/>
          <w:sz w:val="20"/>
          <w:szCs w:val="20"/>
        </w:rPr>
        <w:t>Alison Smith (</w:t>
      </w:r>
      <w:r w:rsidR="002B2617" w:rsidRPr="002B2617">
        <w:rPr>
          <w:rStyle w:val="SubtleEmphasis"/>
          <w:i w:val="0"/>
          <w:iCs w:val="0"/>
          <w:color w:val="000000" w:themeColor="text1"/>
          <w:sz w:val="20"/>
          <w:szCs w:val="20"/>
        </w:rPr>
        <w:t>Prescribing Support Consultant Dietitian</w:t>
      </w:r>
      <w:r w:rsidR="002B2617">
        <w:rPr>
          <w:rStyle w:val="SubtleEmphasis"/>
          <w:i w:val="0"/>
          <w:iCs w:val="0"/>
          <w:color w:val="000000" w:themeColor="text1"/>
          <w:sz w:val="20"/>
          <w:szCs w:val="20"/>
        </w:rPr>
        <w:t xml:space="preserve">, </w:t>
      </w:r>
      <w:r>
        <w:rPr>
          <w:rStyle w:val="SubtleEmphasis"/>
          <w:i w:val="0"/>
          <w:iCs w:val="0"/>
          <w:color w:val="000000" w:themeColor="text1"/>
          <w:sz w:val="20"/>
          <w:szCs w:val="20"/>
        </w:rPr>
        <w:t xml:space="preserve">NHS Hertfordshire and West Essex ICB) </w:t>
      </w:r>
    </w:p>
    <w:p w14:paraId="49294593" w14:textId="3609E396" w:rsidR="002B2617" w:rsidRDefault="002B2617" w:rsidP="00F65916">
      <w:pPr>
        <w:pStyle w:val="NoSpacing"/>
        <w:rPr>
          <w:rStyle w:val="SubtleEmphasis"/>
          <w:i w:val="0"/>
          <w:iCs w:val="0"/>
          <w:color w:val="000000" w:themeColor="text1"/>
          <w:sz w:val="20"/>
          <w:szCs w:val="20"/>
        </w:rPr>
      </w:pPr>
      <w:r>
        <w:rPr>
          <w:rStyle w:val="SubtleEmphasis"/>
          <w:i w:val="0"/>
          <w:iCs w:val="0"/>
          <w:color w:val="000000" w:themeColor="text1"/>
          <w:sz w:val="20"/>
          <w:szCs w:val="20"/>
        </w:rPr>
        <w:t>Ana Rita Ubaldo (Senior Analyst, NHS England)</w:t>
      </w:r>
    </w:p>
    <w:p w14:paraId="034F83F0" w14:textId="43C4D47E" w:rsidR="00926013" w:rsidRDefault="00926013" w:rsidP="00F65916">
      <w:pPr>
        <w:pStyle w:val="NoSpacing"/>
        <w:rPr>
          <w:rStyle w:val="SubtleEmphasis"/>
          <w:i w:val="0"/>
          <w:iCs w:val="0"/>
          <w:color w:val="000000" w:themeColor="text1"/>
          <w:sz w:val="20"/>
          <w:szCs w:val="20"/>
        </w:rPr>
      </w:pPr>
      <w:r>
        <w:rPr>
          <w:rStyle w:val="SubtleEmphasis"/>
          <w:i w:val="0"/>
          <w:iCs w:val="0"/>
          <w:color w:val="000000" w:themeColor="text1"/>
          <w:sz w:val="20"/>
          <w:szCs w:val="20"/>
        </w:rPr>
        <w:t>Angela Pritchard-Wilson (Senior Information Analyst, NHS Business Services Authority)</w:t>
      </w:r>
    </w:p>
    <w:p w14:paraId="44EF2DCD" w14:textId="3AB0DAF1" w:rsidR="001B2612" w:rsidRDefault="001B2612" w:rsidP="00F65916">
      <w:pPr>
        <w:pStyle w:val="NoSpacing"/>
        <w:rPr>
          <w:rStyle w:val="SubtleEmphasis"/>
          <w:i w:val="0"/>
          <w:iCs w:val="0"/>
          <w:color w:val="000000" w:themeColor="text1"/>
          <w:sz w:val="20"/>
          <w:szCs w:val="20"/>
        </w:rPr>
      </w:pPr>
      <w:r>
        <w:rPr>
          <w:rStyle w:val="SubtleEmphasis"/>
          <w:i w:val="0"/>
          <w:iCs w:val="0"/>
          <w:color w:val="000000" w:themeColor="text1"/>
          <w:sz w:val="20"/>
          <w:szCs w:val="20"/>
        </w:rPr>
        <w:t>Bethany Ogle (Statistician, NHS Business Services Authority)</w:t>
      </w:r>
    </w:p>
    <w:p w14:paraId="4F359799" w14:textId="186582EF" w:rsidR="007A69A4" w:rsidRDefault="007A69A4" w:rsidP="00F65916">
      <w:pPr>
        <w:pStyle w:val="NoSpacing"/>
        <w:rPr>
          <w:rStyle w:val="SubtleEmphasis"/>
          <w:i w:val="0"/>
          <w:iCs w:val="0"/>
          <w:color w:val="000000" w:themeColor="text1"/>
          <w:sz w:val="20"/>
          <w:szCs w:val="20"/>
        </w:rPr>
      </w:pPr>
      <w:r>
        <w:rPr>
          <w:rStyle w:val="SubtleEmphasis"/>
          <w:i w:val="0"/>
          <w:iCs w:val="0"/>
          <w:color w:val="000000" w:themeColor="text1"/>
          <w:sz w:val="20"/>
          <w:szCs w:val="20"/>
        </w:rPr>
        <w:t>Carol Roberts (</w:t>
      </w:r>
      <w:r w:rsidR="001B2612">
        <w:rPr>
          <w:rStyle w:val="SubtleEmphasis"/>
          <w:i w:val="0"/>
          <w:iCs w:val="0"/>
          <w:color w:val="000000" w:themeColor="text1"/>
          <w:sz w:val="20"/>
          <w:szCs w:val="20"/>
        </w:rPr>
        <w:t xml:space="preserve">CEO, </w:t>
      </w:r>
      <w:proofErr w:type="spellStart"/>
      <w:r>
        <w:rPr>
          <w:rStyle w:val="SubtleEmphasis"/>
          <w:i w:val="0"/>
          <w:iCs w:val="0"/>
          <w:color w:val="000000" w:themeColor="text1"/>
          <w:sz w:val="20"/>
          <w:szCs w:val="20"/>
        </w:rPr>
        <w:t>PrescQUIPP</w:t>
      </w:r>
      <w:proofErr w:type="spellEnd"/>
      <w:r>
        <w:rPr>
          <w:rStyle w:val="SubtleEmphasis"/>
          <w:i w:val="0"/>
          <w:iCs w:val="0"/>
          <w:color w:val="000000" w:themeColor="text1"/>
          <w:sz w:val="20"/>
          <w:szCs w:val="20"/>
        </w:rPr>
        <w:t>)</w:t>
      </w:r>
    </w:p>
    <w:p w14:paraId="31BEA4DA" w14:textId="553B942C" w:rsidR="002B2617" w:rsidRDefault="002B2617" w:rsidP="002B2617">
      <w:pPr>
        <w:pStyle w:val="NoSpacing"/>
        <w:rPr>
          <w:rStyle w:val="SubtleEmphasis"/>
          <w:i w:val="0"/>
          <w:iCs w:val="0"/>
          <w:color w:val="000000" w:themeColor="text1"/>
          <w:sz w:val="20"/>
          <w:szCs w:val="20"/>
        </w:rPr>
      </w:pPr>
      <w:r>
        <w:rPr>
          <w:rStyle w:val="SubtleEmphasis"/>
          <w:i w:val="0"/>
          <w:iCs w:val="0"/>
          <w:color w:val="000000" w:themeColor="text1"/>
          <w:sz w:val="20"/>
          <w:szCs w:val="20"/>
        </w:rPr>
        <w:t>Daniel Graham (</w:t>
      </w:r>
      <w:r w:rsidR="001B2612">
        <w:rPr>
          <w:rStyle w:val="SubtleEmphasis"/>
          <w:i w:val="0"/>
          <w:iCs w:val="0"/>
          <w:color w:val="000000" w:themeColor="text1"/>
          <w:sz w:val="20"/>
          <w:szCs w:val="20"/>
        </w:rPr>
        <w:t xml:space="preserve">Lead Clinical Pharmacist, </w:t>
      </w:r>
      <w:r>
        <w:rPr>
          <w:rStyle w:val="SubtleEmphasis"/>
          <w:i w:val="0"/>
          <w:iCs w:val="0"/>
          <w:color w:val="000000" w:themeColor="text1"/>
          <w:sz w:val="20"/>
          <w:szCs w:val="20"/>
        </w:rPr>
        <w:t>DHU Healthcare)</w:t>
      </w:r>
    </w:p>
    <w:p w14:paraId="5FC345A9" w14:textId="370C7520" w:rsidR="002B2617" w:rsidRDefault="002B2617" w:rsidP="00F65916">
      <w:pPr>
        <w:pStyle w:val="NoSpacing"/>
        <w:rPr>
          <w:rStyle w:val="SubtleEmphasis"/>
          <w:i w:val="0"/>
          <w:iCs w:val="0"/>
          <w:color w:val="000000" w:themeColor="text1"/>
          <w:sz w:val="20"/>
          <w:szCs w:val="20"/>
        </w:rPr>
      </w:pPr>
      <w:r>
        <w:rPr>
          <w:rStyle w:val="SubtleEmphasis"/>
          <w:i w:val="0"/>
          <w:iCs w:val="0"/>
          <w:color w:val="000000" w:themeColor="text1"/>
          <w:sz w:val="20"/>
          <w:szCs w:val="20"/>
        </w:rPr>
        <w:t>Marco Yeung (</w:t>
      </w:r>
      <w:r w:rsidR="001B2612">
        <w:rPr>
          <w:rStyle w:val="SubtleEmphasis"/>
          <w:i w:val="0"/>
          <w:iCs w:val="0"/>
          <w:color w:val="000000" w:themeColor="text1"/>
          <w:sz w:val="20"/>
          <w:szCs w:val="20"/>
        </w:rPr>
        <w:t xml:space="preserve">Medicine Optimisation Pharmacist, </w:t>
      </w:r>
      <w:r>
        <w:rPr>
          <w:rStyle w:val="SubtleEmphasis"/>
          <w:i w:val="0"/>
          <w:iCs w:val="0"/>
          <w:color w:val="000000" w:themeColor="text1"/>
          <w:sz w:val="20"/>
          <w:szCs w:val="20"/>
        </w:rPr>
        <w:t xml:space="preserve">NHS Bath and </w:t>
      </w:r>
      <w:proofErr w:type="gramStart"/>
      <w:r>
        <w:rPr>
          <w:rStyle w:val="SubtleEmphasis"/>
          <w:i w:val="0"/>
          <w:iCs w:val="0"/>
          <w:color w:val="000000" w:themeColor="text1"/>
          <w:sz w:val="20"/>
          <w:szCs w:val="20"/>
        </w:rPr>
        <w:t>North East</w:t>
      </w:r>
      <w:proofErr w:type="gramEnd"/>
      <w:r>
        <w:rPr>
          <w:rStyle w:val="SubtleEmphasis"/>
          <w:i w:val="0"/>
          <w:iCs w:val="0"/>
          <w:color w:val="000000" w:themeColor="text1"/>
          <w:sz w:val="20"/>
          <w:szCs w:val="20"/>
        </w:rPr>
        <w:t xml:space="preserve"> Somerset, Swindon and Wiltshire ICB)</w:t>
      </w:r>
    </w:p>
    <w:p w14:paraId="3553E9E9" w14:textId="6F2BEAD6" w:rsidR="007A69A4" w:rsidRDefault="007A69A4" w:rsidP="00F65916">
      <w:pPr>
        <w:pStyle w:val="NoSpacing"/>
        <w:rPr>
          <w:rStyle w:val="SubtleEmphasis"/>
          <w:i w:val="0"/>
          <w:iCs w:val="0"/>
          <w:color w:val="000000" w:themeColor="text1"/>
          <w:sz w:val="20"/>
          <w:szCs w:val="20"/>
        </w:rPr>
      </w:pPr>
      <w:r>
        <w:rPr>
          <w:rStyle w:val="SubtleEmphasis"/>
          <w:i w:val="0"/>
          <w:iCs w:val="0"/>
          <w:color w:val="000000" w:themeColor="text1"/>
          <w:sz w:val="20"/>
          <w:szCs w:val="20"/>
        </w:rPr>
        <w:t>Mark Dasgupta (</w:t>
      </w:r>
      <w:r w:rsidR="002B2617" w:rsidRPr="002B2617">
        <w:rPr>
          <w:rStyle w:val="SubtleEmphasis"/>
          <w:i w:val="0"/>
          <w:iCs w:val="0"/>
          <w:color w:val="000000" w:themeColor="text1"/>
          <w:sz w:val="20"/>
          <w:szCs w:val="20"/>
        </w:rPr>
        <w:t>Clinical Director of Medicines Management and Optimisation</w:t>
      </w:r>
      <w:r w:rsidR="002B2617">
        <w:rPr>
          <w:rStyle w:val="SubtleEmphasis"/>
          <w:i w:val="0"/>
          <w:iCs w:val="0"/>
          <w:color w:val="000000" w:themeColor="text1"/>
          <w:sz w:val="20"/>
          <w:szCs w:val="20"/>
        </w:rPr>
        <w:t xml:space="preserve">, </w:t>
      </w:r>
      <w:r>
        <w:rPr>
          <w:rStyle w:val="SubtleEmphasis"/>
          <w:i w:val="0"/>
          <w:iCs w:val="0"/>
          <w:color w:val="000000" w:themeColor="text1"/>
          <w:sz w:val="20"/>
          <w:szCs w:val="20"/>
        </w:rPr>
        <w:t>NHS Birmingham and Solihull ICB)</w:t>
      </w:r>
    </w:p>
    <w:p w14:paraId="63B4C60F" w14:textId="79917EBF" w:rsidR="00926013" w:rsidRDefault="00926013" w:rsidP="00F65916">
      <w:pPr>
        <w:pStyle w:val="NoSpacing"/>
        <w:rPr>
          <w:rStyle w:val="SubtleEmphasis"/>
          <w:i w:val="0"/>
          <w:iCs w:val="0"/>
          <w:color w:val="000000" w:themeColor="text1"/>
          <w:sz w:val="20"/>
          <w:szCs w:val="20"/>
        </w:rPr>
      </w:pPr>
      <w:r>
        <w:rPr>
          <w:rStyle w:val="SubtleEmphasis"/>
          <w:i w:val="0"/>
          <w:iCs w:val="0"/>
          <w:color w:val="000000" w:themeColor="text1"/>
          <w:sz w:val="20"/>
          <w:szCs w:val="20"/>
        </w:rPr>
        <w:t>Noor AlShehabi (Business Intelligence Developer, NHS Business Services Authority)</w:t>
      </w:r>
    </w:p>
    <w:p w14:paraId="5590D83F" w14:textId="7C40D39C" w:rsidR="007A69A4" w:rsidRDefault="007A69A4" w:rsidP="00F65916">
      <w:pPr>
        <w:pStyle w:val="NoSpacing"/>
        <w:rPr>
          <w:rStyle w:val="SubtleEmphasis"/>
          <w:i w:val="0"/>
          <w:iCs w:val="0"/>
          <w:color w:val="000000" w:themeColor="text1"/>
          <w:sz w:val="20"/>
          <w:szCs w:val="20"/>
        </w:rPr>
      </w:pPr>
      <w:r>
        <w:rPr>
          <w:rStyle w:val="SubtleEmphasis"/>
          <w:i w:val="0"/>
          <w:iCs w:val="0"/>
          <w:color w:val="000000" w:themeColor="text1"/>
          <w:sz w:val="20"/>
          <w:szCs w:val="20"/>
        </w:rPr>
        <w:t>Paula Wilkinson (</w:t>
      </w:r>
      <w:r w:rsidR="002B2617">
        <w:rPr>
          <w:rStyle w:val="SubtleEmphasis"/>
          <w:i w:val="0"/>
          <w:iCs w:val="0"/>
          <w:color w:val="000000" w:themeColor="text1"/>
          <w:sz w:val="20"/>
          <w:szCs w:val="20"/>
        </w:rPr>
        <w:t xml:space="preserve">Director of Pharmacy &amp; Medicines Optimisation, </w:t>
      </w:r>
      <w:r>
        <w:rPr>
          <w:rStyle w:val="SubtleEmphasis"/>
          <w:i w:val="0"/>
          <w:iCs w:val="0"/>
          <w:color w:val="000000" w:themeColor="text1"/>
          <w:sz w:val="20"/>
          <w:szCs w:val="20"/>
        </w:rPr>
        <w:t>NHS Mi</w:t>
      </w:r>
      <w:r w:rsidR="002B2617">
        <w:rPr>
          <w:rStyle w:val="SubtleEmphasis"/>
          <w:i w:val="0"/>
          <w:iCs w:val="0"/>
          <w:color w:val="000000" w:themeColor="text1"/>
          <w:sz w:val="20"/>
          <w:szCs w:val="20"/>
        </w:rPr>
        <w:t>d</w:t>
      </w:r>
      <w:r>
        <w:rPr>
          <w:rStyle w:val="SubtleEmphasis"/>
          <w:i w:val="0"/>
          <w:iCs w:val="0"/>
          <w:color w:val="000000" w:themeColor="text1"/>
          <w:sz w:val="20"/>
          <w:szCs w:val="20"/>
        </w:rPr>
        <w:t xml:space="preserve"> and South Essex ICB)</w:t>
      </w:r>
    </w:p>
    <w:p w14:paraId="715655B2" w14:textId="112B6CB5" w:rsidR="00B60805" w:rsidRDefault="00B60805" w:rsidP="00F65916">
      <w:pPr>
        <w:pStyle w:val="NoSpacing"/>
        <w:rPr>
          <w:rStyle w:val="SubtleEmphasis"/>
          <w:i w:val="0"/>
          <w:iCs w:val="0"/>
          <w:color w:val="000000" w:themeColor="text1"/>
          <w:sz w:val="20"/>
          <w:szCs w:val="20"/>
        </w:rPr>
      </w:pPr>
      <w:r>
        <w:rPr>
          <w:rStyle w:val="SubtleEmphasis"/>
          <w:i w:val="0"/>
          <w:iCs w:val="0"/>
          <w:color w:val="000000" w:themeColor="text1"/>
          <w:sz w:val="20"/>
          <w:szCs w:val="20"/>
        </w:rPr>
        <w:t>Paul Brown (Clinical Lead, NHS England)</w:t>
      </w:r>
    </w:p>
    <w:p w14:paraId="322777D3" w14:textId="78F39642" w:rsidR="002B2617" w:rsidRDefault="002B2617" w:rsidP="00F65916">
      <w:pPr>
        <w:pStyle w:val="NoSpacing"/>
        <w:rPr>
          <w:rStyle w:val="SubtleEmphasis"/>
          <w:i w:val="0"/>
          <w:iCs w:val="0"/>
          <w:color w:val="000000" w:themeColor="text1"/>
          <w:sz w:val="20"/>
          <w:szCs w:val="20"/>
        </w:rPr>
      </w:pPr>
      <w:r>
        <w:rPr>
          <w:rStyle w:val="SubtleEmphasis"/>
          <w:i w:val="0"/>
          <w:iCs w:val="0"/>
          <w:color w:val="000000" w:themeColor="text1"/>
          <w:sz w:val="20"/>
          <w:szCs w:val="20"/>
        </w:rPr>
        <w:t xml:space="preserve">Sajida Khatri (Director of Medicines Optimisation, </w:t>
      </w:r>
      <w:proofErr w:type="spellStart"/>
      <w:r>
        <w:rPr>
          <w:rStyle w:val="SubtleEmphasis"/>
          <w:i w:val="0"/>
          <w:iCs w:val="0"/>
          <w:color w:val="000000" w:themeColor="text1"/>
          <w:sz w:val="20"/>
          <w:szCs w:val="20"/>
        </w:rPr>
        <w:t>PrescQUIPP</w:t>
      </w:r>
      <w:proofErr w:type="spellEnd"/>
      <w:r>
        <w:rPr>
          <w:rStyle w:val="SubtleEmphasis"/>
          <w:i w:val="0"/>
          <w:iCs w:val="0"/>
          <w:color w:val="000000" w:themeColor="text1"/>
          <w:sz w:val="20"/>
          <w:szCs w:val="20"/>
        </w:rPr>
        <w:t>)</w:t>
      </w:r>
    </w:p>
    <w:p w14:paraId="7BACD52F" w14:textId="7AD4E4D9" w:rsidR="002B2617" w:rsidRDefault="002B2617" w:rsidP="00F65916">
      <w:pPr>
        <w:pStyle w:val="NoSpacing"/>
        <w:rPr>
          <w:rStyle w:val="SubtleEmphasis"/>
          <w:i w:val="0"/>
          <w:iCs w:val="0"/>
          <w:color w:val="000000" w:themeColor="text1"/>
          <w:sz w:val="20"/>
          <w:szCs w:val="20"/>
        </w:rPr>
      </w:pPr>
      <w:r>
        <w:rPr>
          <w:rStyle w:val="SubtleEmphasis"/>
          <w:i w:val="0"/>
          <w:iCs w:val="0"/>
          <w:color w:val="000000" w:themeColor="text1"/>
          <w:sz w:val="20"/>
          <w:szCs w:val="20"/>
        </w:rPr>
        <w:t>Sam Alderson (</w:t>
      </w:r>
      <w:r w:rsidR="00625DEF">
        <w:rPr>
          <w:rStyle w:val="SubtleEmphasis"/>
          <w:i w:val="0"/>
          <w:iCs w:val="0"/>
          <w:color w:val="000000" w:themeColor="text1"/>
          <w:sz w:val="20"/>
          <w:szCs w:val="20"/>
        </w:rPr>
        <w:t xml:space="preserve">Senior Analytical Lead, </w:t>
      </w:r>
      <w:r>
        <w:rPr>
          <w:rStyle w:val="SubtleEmphasis"/>
          <w:i w:val="0"/>
          <w:iCs w:val="0"/>
          <w:color w:val="000000" w:themeColor="text1"/>
          <w:sz w:val="20"/>
          <w:szCs w:val="20"/>
        </w:rPr>
        <w:t>NHS England)</w:t>
      </w:r>
    </w:p>
    <w:p w14:paraId="5179025D" w14:textId="6C7EA5B5" w:rsidR="007A69A4" w:rsidRDefault="007A69A4" w:rsidP="00F65916">
      <w:pPr>
        <w:pStyle w:val="NoSpacing"/>
        <w:rPr>
          <w:rStyle w:val="SubtleEmphasis"/>
          <w:i w:val="0"/>
          <w:iCs w:val="0"/>
          <w:color w:val="000000" w:themeColor="text1"/>
          <w:sz w:val="20"/>
          <w:szCs w:val="20"/>
        </w:rPr>
      </w:pPr>
      <w:r>
        <w:rPr>
          <w:rStyle w:val="SubtleEmphasis"/>
          <w:i w:val="0"/>
          <w:iCs w:val="0"/>
          <w:color w:val="000000" w:themeColor="text1"/>
          <w:sz w:val="20"/>
          <w:szCs w:val="20"/>
        </w:rPr>
        <w:t xml:space="preserve">Sati </w:t>
      </w:r>
      <w:proofErr w:type="spellStart"/>
      <w:r>
        <w:rPr>
          <w:rStyle w:val="SubtleEmphasis"/>
          <w:i w:val="0"/>
          <w:iCs w:val="0"/>
          <w:color w:val="000000" w:themeColor="text1"/>
          <w:sz w:val="20"/>
          <w:szCs w:val="20"/>
        </w:rPr>
        <w:t>Ubhi</w:t>
      </w:r>
      <w:proofErr w:type="spellEnd"/>
      <w:r>
        <w:rPr>
          <w:rStyle w:val="SubtleEmphasis"/>
          <w:i w:val="0"/>
          <w:iCs w:val="0"/>
          <w:color w:val="000000" w:themeColor="text1"/>
          <w:sz w:val="20"/>
          <w:szCs w:val="20"/>
        </w:rPr>
        <w:t xml:space="preserve"> (</w:t>
      </w:r>
      <w:r w:rsidR="002B2617">
        <w:rPr>
          <w:rStyle w:val="SubtleEmphasis"/>
          <w:i w:val="0"/>
          <w:iCs w:val="0"/>
          <w:color w:val="000000" w:themeColor="text1"/>
          <w:sz w:val="20"/>
          <w:szCs w:val="20"/>
        </w:rPr>
        <w:t xml:space="preserve">Director of Pharmacy &amp; Medicines Optimisation, </w:t>
      </w:r>
      <w:r>
        <w:rPr>
          <w:rStyle w:val="SubtleEmphasis"/>
          <w:i w:val="0"/>
          <w:iCs w:val="0"/>
          <w:color w:val="000000" w:themeColor="text1"/>
          <w:sz w:val="20"/>
          <w:szCs w:val="20"/>
        </w:rPr>
        <w:t>NHS Cambridgeshire and Peterborough ICB)</w:t>
      </w:r>
    </w:p>
    <w:p w14:paraId="0E429087" w14:textId="3F9ECB57" w:rsidR="00F65916" w:rsidRDefault="002B2617" w:rsidP="002B2617">
      <w:pPr>
        <w:pStyle w:val="NoSpacing"/>
        <w:rPr>
          <w:rStyle w:val="SubtleEmphasis"/>
          <w:i w:val="0"/>
          <w:iCs w:val="0"/>
          <w:color w:val="000000" w:themeColor="text1"/>
          <w:sz w:val="20"/>
          <w:szCs w:val="20"/>
        </w:rPr>
      </w:pPr>
      <w:r>
        <w:rPr>
          <w:rStyle w:val="SubtleEmphasis"/>
          <w:i w:val="0"/>
          <w:iCs w:val="0"/>
          <w:color w:val="000000" w:themeColor="text1"/>
          <w:sz w:val="20"/>
          <w:szCs w:val="20"/>
        </w:rPr>
        <w:t>Simon Cooper (</w:t>
      </w:r>
      <w:r w:rsidRPr="002B2617">
        <w:rPr>
          <w:rStyle w:val="SubtleEmphasis"/>
          <w:i w:val="0"/>
          <w:iCs w:val="0"/>
          <w:color w:val="000000" w:themeColor="text1"/>
          <w:sz w:val="20"/>
          <w:szCs w:val="20"/>
        </w:rPr>
        <w:t>Director of Medicines Optimisation</w:t>
      </w:r>
      <w:r>
        <w:rPr>
          <w:rStyle w:val="SubtleEmphasis"/>
          <w:i w:val="0"/>
          <w:iCs w:val="0"/>
          <w:color w:val="000000" w:themeColor="text1"/>
          <w:sz w:val="20"/>
          <w:szCs w:val="20"/>
        </w:rPr>
        <w:t>, NHS Portsmouth CCG)</w:t>
      </w:r>
    </w:p>
    <w:p w14:paraId="6A17F18A" w14:textId="77777777" w:rsidR="00B60805" w:rsidRDefault="00B60805" w:rsidP="002B2617">
      <w:pPr>
        <w:pStyle w:val="NoSpacing"/>
        <w:rPr>
          <w:rStyle w:val="SubtleEmphasis"/>
          <w:i w:val="0"/>
          <w:iCs w:val="0"/>
          <w:color w:val="000000" w:themeColor="text1"/>
          <w:sz w:val="20"/>
          <w:szCs w:val="20"/>
        </w:rPr>
      </w:pPr>
    </w:p>
    <w:sectPr w:rsidR="00B60805">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30DF9" w14:textId="77777777" w:rsidR="00023841" w:rsidRDefault="00023841" w:rsidP="0035674C">
      <w:r>
        <w:separator/>
      </w:r>
    </w:p>
  </w:endnote>
  <w:endnote w:type="continuationSeparator" w:id="0">
    <w:p w14:paraId="2BA4C406" w14:textId="77777777" w:rsidR="00023841" w:rsidRDefault="00023841" w:rsidP="0035674C">
      <w:r>
        <w:continuationSeparator/>
      </w:r>
    </w:p>
  </w:endnote>
  <w:endnote w:type="continuationNotice" w:id="1">
    <w:p w14:paraId="1A87E491" w14:textId="77777777" w:rsidR="00023841" w:rsidRDefault="000238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7401367"/>
      <w:docPartObj>
        <w:docPartGallery w:val="Page Numbers (Bottom of Page)"/>
        <w:docPartUnique/>
      </w:docPartObj>
    </w:sdtPr>
    <w:sdtContent>
      <w:p w14:paraId="48D1158A" w14:textId="2522DDF9" w:rsidR="00B22D58" w:rsidRDefault="00B22D58" w:rsidP="007861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EBB6D0" w14:textId="77777777" w:rsidR="00B22D58" w:rsidRDefault="00B22D58" w:rsidP="00654D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2787006"/>
      <w:docPartObj>
        <w:docPartGallery w:val="Page Numbers (Bottom of Page)"/>
        <w:docPartUnique/>
      </w:docPartObj>
    </w:sdtPr>
    <w:sdtContent>
      <w:p w14:paraId="5130E715" w14:textId="729B7CCF" w:rsidR="00B22D58" w:rsidRDefault="00B22D58" w:rsidP="007861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8750BB" w14:textId="77777777" w:rsidR="00B22D58" w:rsidRDefault="00B22D58" w:rsidP="00B22D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BAE78" w14:textId="77777777" w:rsidR="00023841" w:rsidRDefault="00023841" w:rsidP="0035674C">
      <w:r>
        <w:separator/>
      </w:r>
    </w:p>
  </w:footnote>
  <w:footnote w:type="continuationSeparator" w:id="0">
    <w:p w14:paraId="7E694884" w14:textId="77777777" w:rsidR="00023841" w:rsidRDefault="00023841" w:rsidP="0035674C">
      <w:r>
        <w:continuationSeparator/>
      </w:r>
    </w:p>
  </w:footnote>
  <w:footnote w:type="continuationNotice" w:id="1">
    <w:p w14:paraId="08238D59" w14:textId="77777777" w:rsidR="00023841" w:rsidRDefault="00023841">
      <w:pPr>
        <w:spacing w:after="0" w:line="240" w:lineRule="auto"/>
      </w:pPr>
    </w:p>
  </w:footnote>
  <w:footnote w:id="2">
    <w:p w14:paraId="039CC3C2" w14:textId="6BB3273A" w:rsidR="007844FF" w:rsidRDefault="007844FF">
      <w:pPr>
        <w:pStyle w:val="FootnoteText"/>
      </w:pPr>
      <w:r>
        <w:rPr>
          <w:rStyle w:val="FootnoteReference"/>
        </w:rPr>
        <w:footnoteRef/>
      </w:r>
      <w:r w:rsidR="007C5DE7">
        <w:t>See the following document for more details,</w:t>
      </w:r>
      <w:r>
        <w:t xml:space="preserve"> </w:t>
      </w:r>
      <w:hyperlink r:id="rId1" w:history="1">
        <w:r w:rsidR="007C5DE7" w:rsidRPr="000F1202">
          <w:rPr>
            <w:rStyle w:val="Hyperlink"/>
          </w:rPr>
          <w:t>https://www.nhsbsa.nhs.uk/sites/default/files/2018-02/180115%20Age%20Logic%20Summary%20Flow%20Chart%20-%20Revised%20Layout.pdf</w:t>
        </w:r>
      </w:hyperlink>
      <w:r w:rsidR="007C5DE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7A06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D52E4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CC649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4524E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93C8B7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2EEFC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280C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8E8E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461E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9A7C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F7775"/>
    <w:multiLevelType w:val="hybridMultilevel"/>
    <w:tmpl w:val="0E6244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09732A64"/>
    <w:multiLevelType w:val="multilevel"/>
    <w:tmpl w:val="A7865090"/>
    <w:lvl w:ilvl="0">
      <w:start w:val="1"/>
      <w:numFmt w:val="decimal"/>
      <w:pStyle w:val="Heading1"/>
      <w:lvlText w:val="%1."/>
      <w:lvlJc w:val="left"/>
      <w:pPr>
        <w:ind w:left="360" w:hanging="360"/>
      </w:pPr>
      <w:rPr>
        <w:rFonts w:hint="default"/>
        <w:color w:val="0070C0"/>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547860"/>
    <w:multiLevelType w:val="hybridMultilevel"/>
    <w:tmpl w:val="855C9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0A07F3"/>
    <w:multiLevelType w:val="hybridMultilevel"/>
    <w:tmpl w:val="4DFE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965EDF"/>
    <w:multiLevelType w:val="hybridMultilevel"/>
    <w:tmpl w:val="0CC2D5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1D6357"/>
    <w:multiLevelType w:val="hybridMultilevel"/>
    <w:tmpl w:val="B748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880CDD"/>
    <w:multiLevelType w:val="hybridMultilevel"/>
    <w:tmpl w:val="58B47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5956D6"/>
    <w:multiLevelType w:val="hybridMultilevel"/>
    <w:tmpl w:val="02A860AE"/>
    <w:lvl w:ilvl="0" w:tplc="A99097FC">
      <w:numFmt w:val="bullet"/>
      <w:lvlText w:val=""/>
      <w:lvlJc w:val="left"/>
      <w:pPr>
        <w:ind w:left="720" w:hanging="360"/>
      </w:pPr>
      <w:rPr>
        <w:rFonts w:ascii="Symbol" w:eastAsiaTheme="minorHAnsi" w:hAnsi="Symbol" w:cstheme="minorHAns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E0BE6"/>
    <w:multiLevelType w:val="multilevel"/>
    <w:tmpl w:val="68D06B0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27994C91"/>
    <w:multiLevelType w:val="hybridMultilevel"/>
    <w:tmpl w:val="0CC2D5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934EF9"/>
    <w:multiLevelType w:val="multilevel"/>
    <w:tmpl w:val="F304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974245"/>
    <w:multiLevelType w:val="hybridMultilevel"/>
    <w:tmpl w:val="44F6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97568D"/>
    <w:multiLevelType w:val="hybridMultilevel"/>
    <w:tmpl w:val="6738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834C3A"/>
    <w:multiLevelType w:val="hybridMultilevel"/>
    <w:tmpl w:val="0FFEC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8C3D15"/>
    <w:multiLevelType w:val="hybridMultilevel"/>
    <w:tmpl w:val="0EBA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002AEB"/>
    <w:multiLevelType w:val="multilevel"/>
    <w:tmpl w:val="66BA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D45995"/>
    <w:multiLevelType w:val="multilevel"/>
    <w:tmpl w:val="E6FC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B92E98"/>
    <w:multiLevelType w:val="hybridMultilevel"/>
    <w:tmpl w:val="4FA2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4E20DA"/>
    <w:multiLevelType w:val="hybridMultilevel"/>
    <w:tmpl w:val="E830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0842FA"/>
    <w:multiLevelType w:val="hybridMultilevel"/>
    <w:tmpl w:val="0CC2D5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D337CD"/>
    <w:multiLevelType w:val="hybridMultilevel"/>
    <w:tmpl w:val="2EA61ACE"/>
    <w:lvl w:ilvl="0" w:tplc="54000F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6827C4"/>
    <w:multiLevelType w:val="hybridMultilevel"/>
    <w:tmpl w:val="1804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0F17C3"/>
    <w:multiLevelType w:val="hybridMultilevel"/>
    <w:tmpl w:val="8DB85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B12EDF0">
      <w:start w:val="6"/>
      <w:numFmt w:val="bullet"/>
      <w:lvlText w:val="-"/>
      <w:lvlJc w:val="left"/>
      <w:pPr>
        <w:ind w:left="2160" w:hanging="360"/>
      </w:pPr>
      <w:rPr>
        <w:rFonts w:ascii="Arial" w:eastAsiaTheme="minorHAnsi" w:hAnsi="Arial" w:cs="Aria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6D2B28"/>
    <w:multiLevelType w:val="multilevel"/>
    <w:tmpl w:val="BF164E22"/>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7F32CC9"/>
    <w:multiLevelType w:val="hybridMultilevel"/>
    <w:tmpl w:val="A0929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CC76E9"/>
    <w:multiLevelType w:val="multilevel"/>
    <w:tmpl w:val="36A0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BF7B91"/>
    <w:multiLevelType w:val="hybridMultilevel"/>
    <w:tmpl w:val="7D9C40FA"/>
    <w:lvl w:ilvl="0" w:tplc="EA4CF98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00F5A"/>
    <w:multiLevelType w:val="hybridMultilevel"/>
    <w:tmpl w:val="373C8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95231D"/>
    <w:multiLevelType w:val="hybridMultilevel"/>
    <w:tmpl w:val="9A06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F02689"/>
    <w:multiLevelType w:val="hybridMultilevel"/>
    <w:tmpl w:val="10ACE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6D7DBC"/>
    <w:multiLevelType w:val="hybridMultilevel"/>
    <w:tmpl w:val="9236C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2056943">
    <w:abstractNumId w:val="32"/>
  </w:num>
  <w:num w:numId="2" w16cid:durableId="71897714">
    <w:abstractNumId w:val="37"/>
  </w:num>
  <w:num w:numId="3" w16cid:durableId="250629795">
    <w:abstractNumId w:val="23"/>
  </w:num>
  <w:num w:numId="4" w16cid:durableId="216016315">
    <w:abstractNumId w:val="24"/>
  </w:num>
  <w:num w:numId="5" w16cid:durableId="277488484">
    <w:abstractNumId w:val="12"/>
  </w:num>
  <w:num w:numId="6" w16cid:durableId="1708022612">
    <w:abstractNumId w:val="11"/>
  </w:num>
  <w:num w:numId="7" w16cid:durableId="542450519">
    <w:abstractNumId w:val="13"/>
  </w:num>
  <w:num w:numId="8" w16cid:durableId="1404138575">
    <w:abstractNumId w:val="35"/>
  </w:num>
  <w:num w:numId="9" w16cid:durableId="1393500224">
    <w:abstractNumId w:val="25"/>
  </w:num>
  <w:num w:numId="10" w16cid:durableId="211692836">
    <w:abstractNumId w:val="34"/>
  </w:num>
  <w:num w:numId="11" w16cid:durableId="583612774">
    <w:abstractNumId w:val="11"/>
    <w:lvlOverride w:ilvl="0">
      <w:startOverride w:val="1"/>
    </w:lvlOverride>
  </w:num>
  <w:num w:numId="12" w16cid:durableId="1659529958">
    <w:abstractNumId w:val="11"/>
    <w:lvlOverride w:ilvl="0">
      <w:startOverride w:val="5"/>
    </w:lvlOverride>
  </w:num>
  <w:num w:numId="13" w16cid:durableId="329406336">
    <w:abstractNumId w:val="40"/>
  </w:num>
  <w:num w:numId="14" w16cid:durableId="633416103">
    <w:abstractNumId w:val="9"/>
  </w:num>
  <w:num w:numId="15" w16cid:durableId="299575444">
    <w:abstractNumId w:val="7"/>
  </w:num>
  <w:num w:numId="16" w16cid:durableId="1147433053">
    <w:abstractNumId w:val="6"/>
  </w:num>
  <w:num w:numId="17" w16cid:durableId="484470632">
    <w:abstractNumId w:val="5"/>
  </w:num>
  <w:num w:numId="18" w16cid:durableId="2030254266">
    <w:abstractNumId w:val="4"/>
  </w:num>
  <w:num w:numId="19" w16cid:durableId="1392116301">
    <w:abstractNumId w:val="8"/>
  </w:num>
  <w:num w:numId="20" w16cid:durableId="196235704">
    <w:abstractNumId w:val="3"/>
  </w:num>
  <w:num w:numId="21" w16cid:durableId="1102804963">
    <w:abstractNumId w:val="2"/>
  </w:num>
  <w:num w:numId="22" w16cid:durableId="2042701921">
    <w:abstractNumId w:val="1"/>
  </w:num>
  <w:num w:numId="23" w16cid:durableId="1409843119">
    <w:abstractNumId w:val="0"/>
  </w:num>
  <w:num w:numId="24" w16cid:durableId="1117606430">
    <w:abstractNumId w:val="18"/>
  </w:num>
  <w:num w:numId="25" w16cid:durableId="897451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55062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068322">
    <w:abstractNumId w:val="29"/>
  </w:num>
  <w:num w:numId="28" w16cid:durableId="1957255390">
    <w:abstractNumId w:val="22"/>
  </w:num>
  <w:num w:numId="29" w16cid:durableId="1331719618">
    <w:abstractNumId w:val="38"/>
  </w:num>
  <w:num w:numId="30" w16cid:durableId="1773359506">
    <w:abstractNumId w:val="15"/>
  </w:num>
  <w:num w:numId="31" w16cid:durableId="1540705646">
    <w:abstractNumId w:val="14"/>
  </w:num>
  <w:num w:numId="32" w16cid:durableId="1635717672">
    <w:abstractNumId w:val="28"/>
  </w:num>
  <w:num w:numId="33" w16cid:durableId="411973304">
    <w:abstractNumId w:val="31"/>
  </w:num>
  <w:num w:numId="34" w16cid:durableId="893583362">
    <w:abstractNumId w:val="20"/>
  </w:num>
  <w:num w:numId="35" w16cid:durableId="1111507103">
    <w:abstractNumId w:val="27"/>
  </w:num>
  <w:num w:numId="36" w16cid:durableId="208301853">
    <w:abstractNumId w:val="26"/>
  </w:num>
  <w:num w:numId="37" w16cid:durableId="1639649191">
    <w:abstractNumId w:val="16"/>
  </w:num>
  <w:num w:numId="38" w16cid:durableId="2090535847">
    <w:abstractNumId w:val="21"/>
  </w:num>
  <w:num w:numId="39" w16cid:durableId="618341266">
    <w:abstractNumId w:val="11"/>
  </w:num>
  <w:num w:numId="40" w16cid:durableId="275260785">
    <w:abstractNumId w:val="19"/>
  </w:num>
  <w:num w:numId="41" w16cid:durableId="1606960302">
    <w:abstractNumId w:val="39"/>
  </w:num>
  <w:num w:numId="42" w16cid:durableId="1440294660">
    <w:abstractNumId w:val="36"/>
  </w:num>
  <w:num w:numId="43" w16cid:durableId="652415982">
    <w:abstractNumId w:val="17"/>
  </w:num>
  <w:num w:numId="44" w16cid:durableId="56100684">
    <w:abstractNumId w:val="30"/>
  </w:num>
  <w:num w:numId="45" w16cid:durableId="963539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55533245">
    <w:abstractNumId w:val="10"/>
  </w:num>
  <w:num w:numId="47" w16cid:durableId="17569791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118770">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E1"/>
    <w:rsid w:val="00004316"/>
    <w:rsid w:val="000047C1"/>
    <w:rsid w:val="00011A8D"/>
    <w:rsid w:val="000154F5"/>
    <w:rsid w:val="000205DE"/>
    <w:rsid w:val="0002165F"/>
    <w:rsid w:val="00022781"/>
    <w:rsid w:val="00022CE4"/>
    <w:rsid w:val="00023841"/>
    <w:rsid w:val="00027A82"/>
    <w:rsid w:val="00027ACF"/>
    <w:rsid w:val="00034B7D"/>
    <w:rsid w:val="0003524A"/>
    <w:rsid w:val="00043826"/>
    <w:rsid w:val="00045068"/>
    <w:rsid w:val="000518F1"/>
    <w:rsid w:val="0005339C"/>
    <w:rsid w:val="0005354E"/>
    <w:rsid w:val="00055A2C"/>
    <w:rsid w:val="000560B8"/>
    <w:rsid w:val="000579B9"/>
    <w:rsid w:val="000579F6"/>
    <w:rsid w:val="00060721"/>
    <w:rsid w:val="00063423"/>
    <w:rsid w:val="00065B1B"/>
    <w:rsid w:val="00066261"/>
    <w:rsid w:val="000666DC"/>
    <w:rsid w:val="0007408A"/>
    <w:rsid w:val="000754D1"/>
    <w:rsid w:val="0007557D"/>
    <w:rsid w:val="00077243"/>
    <w:rsid w:val="000810A1"/>
    <w:rsid w:val="00081CBD"/>
    <w:rsid w:val="00083BF4"/>
    <w:rsid w:val="00086C28"/>
    <w:rsid w:val="00091E73"/>
    <w:rsid w:val="00092687"/>
    <w:rsid w:val="000948D1"/>
    <w:rsid w:val="000A1B12"/>
    <w:rsid w:val="000A4E03"/>
    <w:rsid w:val="000A5FE3"/>
    <w:rsid w:val="000B5B0E"/>
    <w:rsid w:val="000B7BB8"/>
    <w:rsid w:val="000C2AE2"/>
    <w:rsid w:val="000C2C31"/>
    <w:rsid w:val="000C6359"/>
    <w:rsid w:val="000D635D"/>
    <w:rsid w:val="000E0018"/>
    <w:rsid w:val="000E3EEE"/>
    <w:rsid w:val="000E74B8"/>
    <w:rsid w:val="000F1555"/>
    <w:rsid w:val="000F43AA"/>
    <w:rsid w:val="000F6C64"/>
    <w:rsid w:val="00107280"/>
    <w:rsid w:val="001115F2"/>
    <w:rsid w:val="00112081"/>
    <w:rsid w:val="0011559B"/>
    <w:rsid w:val="001158A2"/>
    <w:rsid w:val="00116414"/>
    <w:rsid w:val="00117770"/>
    <w:rsid w:val="0012049A"/>
    <w:rsid w:val="00120ED1"/>
    <w:rsid w:val="0013021B"/>
    <w:rsid w:val="00131488"/>
    <w:rsid w:val="00136E47"/>
    <w:rsid w:val="00140E5C"/>
    <w:rsid w:val="00146078"/>
    <w:rsid w:val="001472F4"/>
    <w:rsid w:val="001516D1"/>
    <w:rsid w:val="00155D3A"/>
    <w:rsid w:val="00161FC2"/>
    <w:rsid w:val="001620DF"/>
    <w:rsid w:val="00164CE1"/>
    <w:rsid w:val="0016551E"/>
    <w:rsid w:val="001674EC"/>
    <w:rsid w:val="00171960"/>
    <w:rsid w:val="00173A66"/>
    <w:rsid w:val="001741BA"/>
    <w:rsid w:val="0017467D"/>
    <w:rsid w:val="001774C2"/>
    <w:rsid w:val="001820D7"/>
    <w:rsid w:val="001845DE"/>
    <w:rsid w:val="00185897"/>
    <w:rsid w:val="00186A8B"/>
    <w:rsid w:val="00197015"/>
    <w:rsid w:val="001A02E8"/>
    <w:rsid w:val="001A37CD"/>
    <w:rsid w:val="001A607A"/>
    <w:rsid w:val="001A701D"/>
    <w:rsid w:val="001B04DB"/>
    <w:rsid w:val="001B0A08"/>
    <w:rsid w:val="001B2612"/>
    <w:rsid w:val="001B6BC6"/>
    <w:rsid w:val="001C339C"/>
    <w:rsid w:val="001C7D40"/>
    <w:rsid w:val="001D0D41"/>
    <w:rsid w:val="001D3F03"/>
    <w:rsid w:val="001D629C"/>
    <w:rsid w:val="001E039F"/>
    <w:rsid w:val="001F371E"/>
    <w:rsid w:val="001F3797"/>
    <w:rsid w:val="001F49F1"/>
    <w:rsid w:val="001F61AC"/>
    <w:rsid w:val="00205AF5"/>
    <w:rsid w:val="00207408"/>
    <w:rsid w:val="002078DB"/>
    <w:rsid w:val="00207F37"/>
    <w:rsid w:val="002102FB"/>
    <w:rsid w:val="0021452F"/>
    <w:rsid w:val="002178C1"/>
    <w:rsid w:val="00220658"/>
    <w:rsid w:val="00220EDD"/>
    <w:rsid w:val="002267D4"/>
    <w:rsid w:val="0023017D"/>
    <w:rsid w:val="00230787"/>
    <w:rsid w:val="002325E6"/>
    <w:rsid w:val="00234E04"/>
    <w:rsid w:val="002370E5"/>
    <w:rsid w:val="00243079"/>
    <w:rsid w:val="00243647"/>
    <w:rsid w:val="00253383"/>
    <w:rsid w:val="00253FBA"/>
    <w:rsid w:val="00254930"/>
    <w:rsid w:val="00254FF2"/>
    <w:rsid w:val="0026088A"/>
    <w:rsid w:val="00261061"/>
    <w:rsid w:val="00263B25"/>
    <w:rsid w:val="00264FF1"/>
    <w:rsid w:val="002654B4"/>
    <w:rsid w:val="00274E21"/>
    <w:rsid w:val="002766DC"/>
    <w:rsid w:val="002775A2"/>
    <w:rsid w:val="0028670C"/>
    <w:rsid w:val="00290859"/>
    <w:rsid w:val="00290D05"/>
    <w:rsid w:val="002A7C17"/>
    <w:rsid w:val="002B2617"/>
    <w:rsid w:val="002B27E2"/>
    <w:rsid w:val="002B50CC"/>
    <w:rsid w:val="002C0AC4"/>
    <w:rsid w:val="002C4826"/>
    <w:rsid w:val="002C4C09"/>
    <w:rsid w:val="002C6B96"/>
    <w:rsid w:val="002D174A"/>
    <w:rsid w:val="002D2552"/>
    <w:rsid w:val="002D494F"/>
    <w:rsid w:val="002D5A9D"/>
    <w:rsid w:val="002E12F3"/>
    <w:rsid w:val="002E37A3"/>
    <w:rsid w:val="002E4C4A"/>
    <w:rsid w:val="002F29ED"/>
    <w:rsid w:val="002F3AB8"/>
    <w:rsid w:val="002F3D30"/>
    <w:rsid w:val="002F3E72"/>
    <w:rsid w:val="002F61A3"/>
    <w:rsid w:val="002F7053"/>
    <w:rsid w:val="002F75C1"/>
    <w:rsid w:val="00304997"/>
    <w:rsid w:val="0031065C"/>
    <w:rsid w:val="00312265"/>
    <w:rsid w:val="003141AF"/>
    <w:rsid w:val="00321787"/>
    <w:rsid w:val="00322305"/>
    <w:rsid w:val="00324B55"/>
    <w:rsid w:val="0032719A"/>
    <w:rsid w:val="00331410"/>
    <w:rsid w:val="00334C17"/>
    <w:rsid w:val="00336263"/>
    <w:rsid w:val="003376E4"/>
    <w:rsid w:val="0034545B"/>
    <w:rsid w:val="0035674C"/>
    <w:rsid w:val="00357187"/>
    <w:rsid w:val="003623C3"/>
    <w:rsid w:val="003629ED"/>
    <w:rsid w:val="00365F0E"/>
    <w:rsid w:val="0037336E"/>
    <w:rsid w:val="00380924"/>
    <w:rsid w:val="00380F53"/>
    <w:rsid w:val="003867F2"/>
    <w:rsid w:val="00386D2E"/>
    <w:rsid w:val="0039145A"/>
    <w:rsid w:val="00392ACF"/>
    <w:rsid w:val="00393D92"/>
    <w:rsid w:val="003946C3"/>
    <w:rsid w:val="00394A0E"/>
    <w:rsid w:val="00396A5D"/>
    <w:rsid w:val="003A2CF4"/>
    <w:rsid w:val="003A49B8"/>
    <w:rsid w:val="003A5857"/>
    <w:rsid w:val="003B3AFA"/>
    <w:rsid w:val="003B3BF9"/>
    <w:rsid w:val="003B6371"/>
    <w:rsid w:val="003B7B62"/>
    <w:rsid w:val="003C17E5"/>
    <w:rsid w:val="003C2829"/>
    <w:rsid w:val="003C4573"/>
    <w:rsid w:val="003C74CD"/>
    <w:rsid w:val="003C7949"/>
    <w:rsid w:val="003D17E6"/>
    <w:rsid w:val="003D5478"/>
    <w:rsid w:val="003D6C6B"/>
    <w:rsid w:val="003E1038"/>
    <w:rsid w:val="003E25A3"/>
    <w:rsid w:val="003E3C45"/>
    <w:rsid w:val="003E62B7"/>
    <w:rsid w:val="003F1DBC"/>
    <w:rsid w:val="003F406B"/>
    <w:rsid w:val="003F53C7"/>
    <w:rsid w:val="004012A6"/>
    <w:rsid w:val="00403661"/>
    <w:rsid w:val="004050E8"/>
    <w:rsid w:val="00405862"/>
    <w:rsid w:val="0041212E"/>
    <w:rsid w:val="00414101"/>
    <w:rsid w:val="004255F1"/>
    <w:rsid w:val="00427231"/>
    <w:rsid w:val="00431E28"/>
    <w:rsid w:val="004472C7"/>
    <w:rsid w:val="0045229E"/>
    <w:rsid w:val="00454D35"/>
    <w:rsid w:val="004613A9"/>
    <w:rsid w:val="00462EA8"/>
    <w:rsid w:val="004661A2"/>
    <w:rsid w:val="00474375"/>
    <w:rsid w:val="004744A7"/>
    <w:rsid w:val="0047535A"/>
    <w:rsid w:val="00476517"/>
    <w:rsid w:val="0047759C"/>
    <w:rsid w:val="004805E9"/>
    <w:rsid w:val="00481368"/>
    <w:rsid w:val="00481C3F"/>
    <w:rsid w:val="00481D8D"/>
    <w:rsid w:val="00491996"/>
    <w:rsid w:val="00491CF2"/>
    <w:rsid w:val="004979E5"/>
    <w:rsid w:val="004A00B9"/>
    <w:rsid w:val="004A0831"/>
    <w:rsid w:val="004A2BA3"/>
    <w:rsid w:val="004A49D0"/>
    <w:rsid w:val="004A504D"/>
    <w:rsid w:val="004B02F2"/>
    <w:rsid w:val="004C01D8"/>
    <w:rsid w:val="004C3E9E"/>
    <w:rsid w:val="004C3EC2"/>
    <w:rsid w:val="004D262D"/>
    <w:rsid w:val="004D2A10"/>
    <w:rsid w:val="004D3ACD"/>
    <w:rsid w:val="004D54D3"/>
    <w:rsid w:val="004D632B"/>
    <w:rsid w:val="004E0147"/>
    <w:rsid w:val="004E19E4"/>
    <w:rsid w:val="004E2880"/>
    <w:rsid w:val="004E3C4D"/>
    <w:rsid w:val="004E49DF"/>
    <w:rsid w:val="004F1185"/>
    <w:rsid w:val="004F274C"/>
    <w:rsid w:val="004F3F70"/>
    <w:rsid w:val="004F4833"/>
    <w:rsid w:val="004F5F16"/>
    <w:rsid w:val="004F6209"/>
    <w:rsid w:val="00500E8F"/>
    <w:rsid w:val="005026CC"/>
    <w:rsid w:val="005064EC"/>
    <w:rsid w:val="00511742"/>
    <w:rsid w:val="0051761D"/>
    <w:rsid w:val="005259F1"/>
    <w:rsid w:val="00526350"/>
    <w:rsid w:val="00531266"/>
    <w:rsid w:val="00532378"/>
    <w:rsid w:val="005350C7"/>
    <w:rsid w:val="00543DDC"/>
    <w:rsid w:val="0054412E"/>
    <w:rsid w:val="00544918"/>
    <w:rsid w:val="00544A81"/>
    <w:rsid w:val="00546503"/>
    <w:rsid w:val="00546CDC"/>
    <w:rsid w:val="0056158E"/>
    <w:rsid w:val="00562498"/>
    <w:rsid w:val="00562BD6"/>
    <w:rsid w:val="00567E10"/>
    <w:rsid w:val="00571CF1"/>
    <w:rsid w:val="00571EAB"/>
    <w:rsid w:val="00575E4A"/>
    <w:rsid w:val="005844E7"/>
    <w:rsid w:val="005920B7"/>
    <w:rsid w:val="00594213"/>
    <w:rsid w:val="005B58B0"/>
    <w:rsid w:val="005B5DDF"/>
    <w:rsid w:val="005B5F4B"/>
    <w:rsid w:val="005C1C2E"/>
    <w:rsid w:val="005C230E"/>
    <w:rsid w:val="005C27E9"/>
    <w:rsid w:val="005C545F"/>
    <w:rsid w:val="005C6A1D"/>
    <w:rsid w:val="005C6BDD"/>
    <w:rsid w:val="005C7119"/>
    <w:rsid w:val="005C7881"/>
    <w:rsid w:val="005D42B5"/>
    <w:rsid w:val="005E179D"/>
    <w:rsid w:val="005E67F3"/>
    <w:rsid w:val="005F440C"/>
    <w:rsid w:val="00603DCB"/>
    <w:rsid w:val="00605CAE"/>
    <w:rsid w:val="006061FD"/>
    <w:rsid w:val="00621D47"/>
    <w:rsid w:val="00625A73"/>
    <w:rsid w:val="00625DEF"/>
    <w:rsid w:val="00631034"/>
    <w:rsid w:val="00650F3B"/>
    <w:rsid w:val="00653A6F"/>
    <w:rsid w:val="006541E7"/>
    <w:rsid w:val="00654D6A"/>
    <w:rsid w:val="00657761"/>
    <w:rsid w:val="00665825"/>
    <w:rsid w:val="00667496"/>
    <w:rsid w:val="00667B5D"/>
    <w:rsid w:val="00672246"/>
    <w:rsid w:val="00677410"/>
    <w:rsid w:val="00693E03"/>
    <w:rsid w:val="006A3D06"/>
    <w:rsid w:val="006B30A6"/>
    <w:rsid w:val="006B40EC"/>
    <w:rsid w:val="006B4C27"/>
    <w:rsid w:val="006B6F6D"/>
    <w:rsid w:val="006C4279"/>
    <w:rsid w:val="006C42A8"/>
    <w:rsid w:val="006D5DEE"/>
    <w:rsid w:val="006D616E"/>
    <w:rsid w:val="006D6DDF"/>
    <w:rsid w:val="006E053D"/>
    <w:rsid w:val="006E220B"/>
    <w:rsid w:val="006E5CDB"/>
    <w:rsid w:val="006F6545"/>
    <w:rsid w:val="006F6D83"/>
    <w:rsid w:val="0070091D"/>
    <w:rsid w:val="007075F7"/>
    <w:rsid w:val="007123EA"/>
    <w:rsid w:val="007208A5"/>
    <w:rsid w:val="00721AA8"/>
    <w:rsid w:val="00724A44"/>
    <w:rsid w:val="00725EC0"/>
    <w:rsid w:val="007367A6"/>
    <w:rsid w:val="00742D5B"/>
    <w:rsid w:val="00742F94"/>
    <w:rsid w:val="0074337E"/>
    <w:rsid w:val="007477CF"/>
    <w:rsid w:val="00750F93"/>
    <w:rsid w:val="0075293F"/>
    <w:rsid w:val="00756DCA"/>
    <w:rsid w:val="0077102C"/>
    <w:rsid w:val="0077290A"/>
    <w:rsid w:val="007738F5"/>
    <w:rsid w:val="00776AB8"/>
    <w:rsid w:val="00780974"/>
    <w:rsid w:val="00782090"/>
    <w:rsid w:val="007844FF"/>
    <w:rsid w:val="00785279"/>
    <w:rsid w:val="00796334"/>
    <w:rsid w:val="007A1203"/>
    <w:rsid w:val="007A1D96"/>
    <w:rsid w:val="007A3181"/>
    <w:rsid w:val="007A69A4"/>
    <w:rsid w:val="007B1839"/>
    <w:rsid w:val="007B278D"/>
    <w:rsid w:val="007C0974"/>
    <w:rsid w:val="007C5DE7"/>
    <w:rsid w:val="007D06F1"/>
    <w:rsid w:val="007D2E7B"/>
    <w:rsid w:val="007F139E"/>
    <w:rsid w:val="007F2DA8"/>
    <w:rsid w:val="008020AD"/>
    <w:rsid w:val="0080394F"/>
    <w:rsid w:val="008073E9"/>
    <w:rsid w:val="00807C86"/>
    <w:rsid w:val="00807C9F"/>
    <w:rsid w:val="00815C5B"/>
    <w:rsid w:val="0081729B"/>
    <w:rsid w:val="00820BC1"/>
    <w:rsid w:val="00823645"/>
    <w:rsid w:val="00824249"/>
    <w:rsid w:val="008263DF"/>
    <w:rsid w:val="00826BFF"/>
    <w:rsid w:val="008310F3"/>
    <w:rsid w:val="00831C0D"/>
    <w:rsid w:val="008326C8"/>
    <w:rsid w:val="0083455D"/>
    <w:rsid w:val="0084286B"/>
    <w:rsid w:val="00843963"/>
    <w:rsid w:val="0084541E"/>
    <w:rsid w:val="00845B0A"/>
    <w:rsid w:val="008469AB"/>
    <w:rsid w:val="00851695"/>
    <w:rsid w:val="008528D3"/>
    <w:rsid w:val="00854E32"/>
    <w:rsid w:val="008604CA"/>
    <w:rsid w:val="00863230"/>
    <w:rsid w:val="008641CA"/>
    <w:rsid w:val="00866F2C"/>
    <w:rsid w:val="00872372"/>
    <w:rsid w:val="00877675"/>
    <w:rsid w:val="00880977"/>
    <w:rsid w:val="00881157"/>
    <w:rsid w:val="00885A52"/>
    <w:rsid w:val="00886DF0"/>
    <w:rsid w:val="008876E0"/>
    <w:rsid w:val="0089589E"/>
    <w:rsid w:val="00895F9E"/>
    <w:rsid w:val="008A0726"/>
    <w:rsid w:val="008A4564"/>
    <w:rsid w:val="008A7D18"/>
    <w:rsid w:val="008B1F4A"/>
    <w:rsid w:val="008B2228"/>
    <w:rsid w:val="008B2AE6"/>
    <w:rsid w:val="008B43E0"/>
    <w:rsid w:val="008C22A8"/>
    <w:rsid w:val="008C65EA"/>
    <w:rsid w:val="008C6679"/>
    <w:rsid w:val="008D0B47"/>
    <w:rsid w:val="008E1755"/>
    <w:rsid w:val="008E41FD"/>
    <w:rsid w:val="008E75D4"/>
    <w:rsid w:val="008F2D45"/>
    <w:rsid w:val="008F6B16"/>
    <w:rsid w:val="008F73DE"/>
    <w:rsid w:val="009017D1"/>
    <w:rsid w:val="0091015A"/>
    <w:rsid w:val="00921F5E"/>
    <w:rsid w:val="00926013"/>
    <w:rsid w:val="0093040F"/>
    <w:rsid w:val="00930570"/>
    <w:rsid w:val="009318E6"/>
    <w:rsid w:val="00933F42"/>
    <w:rsid w:val="00934C0F"/>
    <w:rsid w:val="00937C82"/>
    <w:rsid w:val="0094636B"/>
    <w:rsid w:val="0094642D"/>
    <w:rsid w:val="00947D73"/>
    <w:rsid w:val="009574F7"/>
    <w:rsid w:val="0095766A"/>
    <w:rsid w:val="009631CC"/>
    <w:rsid w:val="009644FB"/>
    <w:rsid w:val="00964837"/>
    <w:rsid w:val="009659D5"/>
    <w:rsid w:val="0097081A"/>
    <w:rsid w:val="009717A3"/>
    <w:rsid w:val="0097494A"/>
    <w:rsid w:val="00977E17"/>
    <w:rsid w:val="00981D62"/>
    <w:rsid w:val="00981E34"/>
    <w:rsid w:val="009831AE"/>
    <w:rsid w:val="00984189"/>
    <w:rsid w:val="00987067"/>
    <w:rsid w:val="0099474C"/>
    <w:rsid w:val="009A1BD5"/>
    <w:rsid w:val="009A2129"/>
    <w:rsid w:val="009A46D7"/>
    <w:rsid w:val="009A56DB"/>
    <w:rsid w:val="009A658F"/>
    <w:rsid w:val="009A7755"/>
    <w:rsid w:val="009B0194"/>
    <w:rsid w:val="009B17D1"/>
    <w:rsid w:val="009B40C8"/>
    <w:rsid w:val="009B648A"/>
    <w:rsid w:val="009C55B8"/>
    <w:rsid w:val="009C7B81"/>
    <w:rsid w:val="009D6643"/>
    <w:rsid w:val="009E0A4D"/>
    <w:rsid w:val="009E5780"/>
    <w:rsid w:val="009E747C"/>
    <w:rsid w:val="009E760A"/>
    <w:rsid w:val="009F5598"/>
    <w:rsid w:val="009F6E67"/>
    <w:rsid w:val="009F7947"/>
    <w:rsid w:val="00A04BE2"/>
    <w:rsid w:val="00A10F74"/>
    <w:rsid w:val="00A124D4"/>
    <w:rsid w:val="00A12517"/>
    <w:rsid w:val="00A1262E"/>
    <w:rsid w:val="00A127B4"/>
    <w:rsid w:val="00A160E1"/>
    <w:rsid w:val="00A16263"/>
    <w:rsid w:val="00A23EFA"/>
    <w:rsid w:val="00A32A53"/>
    <w:rsid w:val="00A3372F"/>
    <w:rsid w:val="00A409EF"/>
    <w:rsid w:val="00A4469E"/>
    <w:rsid w:val="00A44AE2"/>
    <w:rsid w:val="00A45C76"/>
    <w:rsid w:val="00A46E7C"/>
    <w:rsid w:val="00A54D51"/>
    <w:rsid w:val="00A61483"/>
    <w:rsid w:val="00A70A3B"/>
    <w:rsid w:val="00A70E98"/>
    <w:rsid w:val="00A725BD"/>
    <w:rsid w:val="00A72B97"/>
    <w:rsid w:val="00A82C0D"/>
    <w:rsid w:val="00A8527F"/>
    <w:rsid w:val="00A86EE8"/>
    <w:rsid w:val="00A905A6"/>
    <w:rsid w:val="00A91935"/>
    <w:rsid w:val="00A947FB"/>
    <w:rsid w:val="00AA0333"/>
    <w:rsid w:val="00AA0C3F"/>
    <w:rsid w:val="00AA2ABA"/>
    <w:rsid w:val="00AA39F4"/>
    <w:rsid w:val="00AA5C29"/>
    <w:rsid w:val="00AB38BB"/>
    <w:rsid w:val="00AC1EFA"/>
    <w:rsid w:val="00AC264C"/>
    <w:rsid w:val="00AC700C"/>
    <w:rsid w:val="00AD123F"/>
    <w:rsid w:val="00AD1F1A"/>
    <w:rsid w:val="00AD571B"/>
    <w:rsid w:val="00AD6090"/>
    <w:rsid w:val="00AE05FB"/>
    <w:rsid w:val="00AE09E3"/>
    <w:rsid w:val="00AE4205"/>
    <w:rsid w:val="00AE4C4D"/>
    <w:rsid w:val="00AF351A"/>
    <w:rsid w:val="00B03E69"/>
    <w:rsid w:val="00B05B68"/>
    <w:rsid w:val="00B05CCE"/>
    <w:rsid w:val="00B07B3F"/>
    <w:rsid w:val="00B106F4"/>
    <w:rsid w:val="00B1494F"/>
    <w:rsid w:val="00B153CE"/>
    <w:rsid w:val="00B2044B"/>
    <w:rsid w:val="00B22D58"/>
    <w:rsid w:val="00B2352D"/>
    <w:rsid w:val="00B23D17"/>
    <w:rsid w:val="00B32AFA"/>
    <w:rsid w:val="00B35E46"/>
    <w:rsid w:val="00B410C6"/>
    <w:rsid w:val="00B46471"/>
    <w:rsid w:val="00B46997"/>
    <w:rsid w:val="00B52A7D"/>
    <w:rsid w:val="00B54DF4"/>
    <w:rsid w:val="00B56261"/>
    <w:rsid w:val="00B56EAE"/>
    <w:rsid w:val="00B60805"/>
    <w:rsid w:val="00B61B74"/>
    <w:rsid w:val="00B62A1C"/>
    <w:rsid w:val="00B646AF"/>
    <w:rsid w:val="00B65078"/>
    <w:rsid w:val="00B6587E"/>
    <w:rsid w:val="00B6610E"/>
    <w:rsid w:val="00B81CA3"/>
    <w:rsid w:val="00B82A2B"/>
    <w:rsid w:val="00B83824"/>
    <w:rsid w:val="00B92059"/>
    <w:rsid w:val="00B9296E"/>
    <w:rsid w:val="00B93B20"/>
    <w:rsid w:val="00BA29A0"/>
    <w:rsid w:val="00BA340F"/>
    <w:rsid w:val="00BA4224"/>
    <w:rsid w:val="00BA689A"/>
    <w:rsid w:val="00BB0E56"/>
    <w:rsid w:val="00BB1155"/>
    <w:rsid w:val="00BB1985"/>
    <w:rsid w:val="00BC1A1A"/>
    <w:rsid w:val="00BD11B3"/>
    <w:rsid w:val="00BD3339"/>
    <w:rsid w:val="00BD5DC7"/>
    <w:rsid w:val="00BD5EAB"/>
    <w:rsid w:val="00BD73B0"/>
    <w:rsid w:val="00BE1112"/>
    <w:rsid w:val="00BE6075"/>
    <w:rsid w:val="00BE6122"/>
    <w:rsid w:val="00BE6D48"/>
    <w:rsid w:val="00BF165A"/>
    <w:rsid w:val="00C026E4"/>
    <w:rsid w:val="00C12E1E"/>
    <w:rsid w:val="00C158DB"/>
    <w:rsid w:val="00C1652D"/>
    <w:rsid w:val="00C21E36"/>
    <w:rsid w:val="00C21F0B"/>
    <w:rsid w:val="00C23150"/>
    <w:rsid w:val="00C2577B"/>
    <w:rsid w:val="00C311CA"/>
    <w:rsid w:val="00C34C77"/>
    <w:rsid w:val="00C4368A"/>
    <w:rsid w:val="00C51854"/>
    <w:rsid w:val="00C54193"/>
    <w:rsid w:val="00C5758B"/>
    <w:rsid w:val="00C62D80"/>
    <w:rsid w:val="00C64F20"/>
    <w:rsid w:val="00C66CB8"/>
    <w:rsid w:val="00C66FCA"/>
    <w:rsid w:val="00C71841"/>
    <w:rsid w:val="00C7378E"/>
    <w:rsid w:val="00C8198B"/>
    <w:rsid w:val="00C83026"/>
    <w:rsid w:val="00C85DAE"/>
    <w:rsid w:val="00C877DF"/>
    <w:rsid w:val="00C878AA"/>
    <w:rsid w:val="00C91C2A"/>
    <w:rsid w:val="00C96ED3"/>
    <w:rsid w:val="00C97E55"/>
    <w:rsid w:val="00CA11D5"/>
    <w:rsid w:val="00CA4A81"/>
    <w:rsid w:val="00CA561A"/>
    <w:rsid w:val="00CB0990"/>
    <w:rsid w:val="00CB6966"/>
    <w:rsid w:val="00CC33BC"/>
    <w:rsid w:val="00CC3CDD"/>
    <w:rsid w:val="00CC57FB"/>
    <w:rsid w:val="00CD0B8B"/>
    <w:rsid w:val="00CD1256"/>
    <w:rsid w:val="00CD56C4"/>
    <w:rsid w:val="00CD5777"/>
    <w:rsid w:val="00CD5F48"/>
    <w:rsid w:val="00CD70D6"/>
    <w:rsid w:val="00CE2EC9"/>
    <w:rsid w:val="00CE38D6"/>
    <w:rsid w:val="00CE3CA0"/>
    <w:rsid w:val="00CE54A4"/>
    <w:rsid w:val="00CF073B"/>
    <w:rsid w:val="00CF085C"/>
    <w:rsid w:val="00CF4662"/>
    <w:rsid w:val="00CF5CC3"/>
    <w:rsid w:val="00CF6F76"/>
    <w:rsid w:val="00D00708"/>
    <w:rsid w:val="00D103AD"/>
    <w:rsid w:val="00D15009"/>
    <w:rsid w:val="00D172EB"/>
    <w:rsid w:val="00D238B0"/>
    <w:rsid w:val="00D25302"/>
    <w:rsid w:val="00D25839"/>
    <w:rsid w:val="00D33437"/>
    <w:rsid w:val="00D36A88"/>
    <w:rsid w:val="00D40485"/>
    <w:rsid w:val="00D41E87"/>
    <w:rsid w:val="00D42112"/>
    <w:rsid w:val="00D443ED"/>
    <w:rsid w:val="00D45F76"/>
    <w:rsid w:val="00D46294"/>
    <w:rsid w:val="00D46983"/>
    <w:rsid w:val="00D54778"/>
    <w:rsid w:val="00D61711"/>
    <w:rsid w:val="00D62EA5"/>
    <w:rsid w:val="00D62F7E"/>
    <w:rsid w:val="00D63E5E"/>
    <w:rsid w:val="00D71E53"/>
    <w:rsid w:val="00D73366"/>
    <w:rsid w:val="00D7574A"/>
    <w:rsid w:val="00D80028"/>
    <w:rsid w:val="00D802DD"/>
    <w:rsid w:val="00D85372"/>
    <w:rsid w:val="00D85708"/>
    <w:rsid w:val="00D87F96"/>
    <w:rsid w:val="00D901E1"/>
    <w:rsid w:val="00D90B1F"/>
    <w:rsid w:val="00D930E1"/>
    <w:rsid w:val="00D94753"/>
    <w:rsid w:val="00D9642D"/>
    <w:rsid w:val="00D96FDA"/>
    <w:rsid w:val="00DB4876"/>
    <w:rsid w:val="00DC00AA"/>
    <w:rsid w:val="00DC3DE2"/>
    <w:rsid w:val="00DC7C1E"/>
    <w:rsid w:val="00DD26B7"/>
    <w:rsid w:val="00DD3B05"/>
    <w:rsid w:val="00DD70C5"/>
    <w:rsid w:val="00DE2A64"/>
    <w:rsid w:val="00DE30D5"/>
    <w:rsid w:val="00DE4834"/>
    <w:rsid w:val="00DE6DE0"/>
    <w:rsid w:val="00DE7DA9"/>
    <w:rsid w:val="00DF0817"/>
    <w:rsid w:val="00DF2683"/>
    <w:rsid w:val="00DF3304"/>
    <w:rsid w:val="00DF5DEA"/>
    <w:rsid w:val="00DF6360"/>
    <w:rsid w:val="00DF6798"/>
    <w:rsid w:val="00E01871"/>
    <w:rsid w:val="00E01F9B"/>
    <w:rsid w:val="00E10FF5"/>
    <w:rsid w:val="00E110DB"/>
    <w:rsid w:val="00E11471"/>
    <w:rsid w:val="00E13774"/>
    <w:rsid w:val="00E1430A"/>
    <w:rsid w:val="00E146E7"/>
    <w:rsid w:val="00E16BDD"/>
    <w:rsid w:val="00E265A9"/>
    <w:rsid w:val="00E317DC"/>
    <w:rsid w:val="00E33C74"/>
    <w:rsid w:val="00E34E6E"/>
    <w:rsid w:val="00E37694"/>
    <w:rsid w:val="00E37FF1"/>
    <w:rsid w:val="00E506BE"/>
    <w:rsid w:val="00E51066"/>
    <w:rsid w:val="00E54A07"/>
    <w:rsid w:val="00E60820"/>
    <w:rsid w:val="00E6433B"/>
    <w:rsid w:val="00E76BF2"/>
    <w:rsid w:val="00E80F7E"/>
    <w:rsid w:val="00E84F14"/>
    <w:rsid w:val="00E861EF"/>
    <w:rsid w:val="00E87A95"/>
    <w:rsid w:val="00E909BA"/>
    <w:rsid w:val="00E964E0"/>
    <w:rsid w:val="00E973D3"/>
    <w:rsid w:val="00EA32D8"/>
    <w:rsid w:val="00EA3F40"/>
    <w:rsid w:val="00EA677A"/>
    <w:rsid w:val="00EA73A9"/>
    <w:rsid w:val="00EB18B2"/>
    <w:rsid w:val="00EB3692"/>
    <w:rsid w:val="00EC2B2A"/>
    <w:rsid w:val="00EC7597"/>
    <w:rsid w:val="00ED1739"/>
    <w:rsid w:val="00ED2827"/>
    <w:rsid w:val="00ED4FBF"/>
    <w:rsid w:val="00ED65D7"/>
    <w:rsid w:val="00EE2D45"/>
    <w:rsid w:val="00EE41DC"/>
    <w:rsid w:val="00EE56C9"/>
    <w:rsid w:val="00EE639C"/>
    <w:rsid w:val="00EE6AB6"/>
    <w:rsid w:val="00EF12DF"/>
    <w:rsid w:val="00EF2BD1"/>
    <w:rsid w:val="00EF7A90"/>
    <w:rsid w:val="00F003DB"/>
    <w:rsid w:val="00F047CC"/>
    <w:rsid w:val="00F05A9A"/>
    <w:rsid w:val="00F073F8"/>
    <w:rsid w:val="00F1612B"/>
    <w:rsid w:val="00F163EF"/>
    <w:rsid w:val="00F204D0"/>
    <w:rsid w:val="00F22AAA"/>
    <w:rsid w:val="00F23844"/>
    <w:rsid w:val="00F258D5"/>
    <w:rsid w:val="00F30957"/>
    <w:rsid w:val="00F44399"/>
    <w:rsid w:val="00F44D7C"/>
    <w:rsid w:val="00F5612A"/>
    <w:rsid w:val="00F61345"/>
    <w:rsid w:val="00F63EF9"/>
    <w:rsid w:val="00F64301"/>
    <w:rsid w:val="00F64A29"/>
    <w:rsid w:val="00F65916"/>
    <w:rsid w:val="00F65AB6"/>
    <w:rsid w:val="00F6707C"/>
    <w:rsid w:val="00F725D6"/>
    <w:rsid w:val="00F7444F"/>
    <w:rsid w:val="00F75441"/>
    <w:rsid w:val="00F75AC2"/>
    <w:rsid w:val="00F777B7"/>
    <w:rsid w:val="00F8130D"/>
    <w:rsid w:val="00F817A1"/>
    <w:rsid w:val="00F84880"/>
    <w:rsid w:val="00F92681"/>
    <w:rsid w:val="00F934E0"/>
    <w:rsid w:val="00F9652C"/>
    <w:rsid w:val="00FA003A"/>
    <w:rsid w:val="00FA2DCE"/>
    <w:rsid w:val="00FB6D3A"/>
    <w:rsid w:val="00FC0F6C"/>
    <w:rsid w:val="00FC2DC8"/>
    <w:rsid w:val="00FC43CE"/>
    <w:rsid w:val="00FD3D1B"/>
    <w:rsid w:val="00FD4BB9"/>
    <w:rsid w:val="00FD4F74"/>
    <w:rsid w:val="00FD528D"/>
    <w:rsid w:val="00FD7001"/>
    <w:rsid w:val="00FE410C"/>
    <w:rsid w:val="00FE56C1"/>
    <w:rsid w:val="00FF09C7"/>
    <w:rsid w:val="00FF2516"/>
    <w:rsid w:val="00FF7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C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74C"/>
    <w:rPr>
      <w:bCs/>
      <w:sz w:val="20"/>
      <w:szCs w:val="20"/>
    </w:rPr>
  </w:style>
  <w:style w:type="paragraph" w:styleId="Heading1">
    <w:name w:val="heading 1"/>
    <w:basedOn w:val="Normal"/>
    <w:next w:val="Normal"/>
    <w:link w:val="Heading1Char"/>
    <w:uiPriority w:val="9"/>
    <w:qFormat/>
    <w:rsid w:val="00CB6966"/>
    <w:pPr>
      <w:keepNext/>
      <w:keepLines/>
      <w:numPr>
        <w:numId w:val="6"/>
      </w:numPr>
      <w:spacing w:before="240" w:after="0"/>
      <w:outlineLvl w:val="0"/>
    </w:pPr>
    <w:rPr>
      <w:rFonts w:ascii="Arial" w:eastAsiaTheme="majorEastAsia" w:hAnsi="Arial" w:cstheme="majorBidi"/>
      <w:color w:val="005EB8" w:themeColor="text2"/>
      <w:sz w:val="24"/>
      <w:szCs w:val="24"/>
    </w:rPr>
  </w:style>
  <w:style w:type="paragraph" w:styleId="Heading2">
    <w:name w:val="heading 2"/>
    <w:basedOn w:val="Normal"/>
    <w:next w:val="Normal"/>
    <w:link w:val="Heading2Char"/>
    <w:uiPriority w:val="9"/>
    <w:unhideWhenUsed/>
    <w:qFormat/>
    <w:rsid w:val="00CB6966"/>
    <w:pPr>
      <w:keepNext/>
      <w:keepLines/>
      <w:spacing w:before="40" w:after="0"/>
      <w:outlineLvl w:val="1"/>
    </w:pPr>
    <w:rPr>
      <w:rFonts w:asciiTheme="majorHAnsi" w:eastAsiaTheme="majorEastAsia" w:hAnsiTheme="majorHAnsi" w:cstheme="majorBidi"/>
      <w:color w:val="005EB8" w:themeColor="text2"/>
      <w:sz w:val="24"/>
      <w:szCs w:val="26"/>
    </w:rPr>
  </w:style>
  <w:style w:type="paragraph" w:styleId="Heading3">
    <w:name w:val="heading 3"/>
    <w:basedOn w:val="Normal"/>
    <w:next w:val="Normal"/>
    <w:link w:val="Heading3Char"/>
    <w:uiPriority w:val="9"/>
    <w:unhideWhenUsed/>
    <w:qFormat/>
    <w:rsid w:val="00CB6966"/>
    <w:pPr>
      <w:keepNext/>
      <w:keepLines/>
      <w:spacing w:before="40" w:after="0"/>
      <w:outlineLvl w:val="2"/>
    </w:pPr>
    <w:rPr>
      <w:rFonts w:asciiTheme="majorHAnsi" w:eastAsiaTheme="majorEastAsia" w:hAnsiTheme="majorHAnsi" w:cstheme="majorBidi"/>
      <w:color w:val="005EB8" w:themeColor="text2"/>
      <w:sz w:val="24"/>
      <w:szCs w:val="24"/>
    </w:rPr>
  </w:style>
  <w:style w:type="paragraph" w:styleId="Heading4">
    <w:name w:val="heading 4"/>
    <w:basedOn w:val="Normal"/>
    <w:next w:val="Normal"/>
    <w:link w:val="Heading4Char"/>
    <w:uiPriority w:val="9"/>
    <w:unhideWhenUsed/>
    <w:qFormat/>
    <w:rsid w:val="005B58B0"/>
    <w:pPr>
      <w:keepNext/>
      <w:keepLines/>
      <w:spacing w:before="40" w:after="0"/>
      <w:outlineLvl w:val="3"/>
    </w:pPr>
    <w:rPr>
      <w:rFonts w:asciiTheme="majorHAnsi" w:eastAsiaTheme="majorEastAsia" w:hAnsiTheme="majorHAnsi" w:cstheme="majorBidi"/>
      <w:i/>
      <w:iCs/>
      <w:color w:val="004689" w:themeColor="accent1" w:themeShade="BF"/>
    </w:rPr>
  </w:style>
  <w:style w:type="paragraph" w:styleId="Heading5">
    <w:name w:val="heading 5"/>
    <w:basedOn w:val="Normal"/>
    <w:next w:val="Normal"/>
    <w:link w:val="Heading5Char"/>
    <w:uiPriority w:val="9"/>
    <w:unhideWhenUsed/>
    <w:qFormat/>
    <w:rsid w:val="005B58B0"/>
    <w:pPr>
      <w:keepNext/>
      <w:keepLines/>
      <w:spacing w:before="40" w:after="0"/>
      <w:outlineLvl w:val="4"/>
    </w:pPr>
    <w:rPr>
      <w:rFonts w:asciiTheme="majorHAnsi" w:eastAsiaTheme="majorEastAsia" w:hAnsiTheme="majorHAnsi" w:cstheme="majorBidi"/>
      <w:color w:val="004689" w:themeColor="accent1" w:themeShade="BF"/>
    </w:rPr>
  </w:style>
  <w:style w:type="paragraph" w:styleId="Heading6">
    <w:name w:val="heading 6"/>
    <w:basedOn w:val="Normal"/>
    <w:next w:val="Normal"/>
    <w:link w:val="Heading6Char"/>
    <w:uiPriority w:val="9"/>
    <w:semiHidden/>
    <w:unhideWhenUsed/>
    <w:qFormat/>
    <w:rsid w:val="0016551E"/>
    <w:pPr>
      <w:keepNext/>
      <w:keepLines/>
      <w:spacing w:before="40" w:after="0"/>
      <w:outlineLvl w:val="5"/>
    </w:pPr>
    <w:rPr>
      <w:rFonts w:asciiTheme="majorHAnsi" w:eastAsiaTheme="majorEastAsia" w:hAnsiTheme="majorHAnsi" w:cstheme="majorBidi"/>
      <w:color w:val="002E5B" w:themeColor="accent1" w:themeShade="7F"/>
    </w:rPr>
  </w:style>
  <w:style w:type="paragraph" w:styleId="Heading7">
    <w:name w:val="heading 7"/>
    <w:basedOn w:val="Normal"/>
    <w:next w:val="Normal"/>
    <w:link w:val="Heading7Char"/>
    <w:uiPriority w:val="9"/>
    <w:semiHidden/>
    <w:unhideWhenUsed/>
    <w:qFormat/>
    <w:rsid w:val="0016551E"/>
    <w:pPr>
      <w:keepNext/>
      <w:keepLines/>
      <w:spacing w:before="40" w:after="0"/>
      <w:outlineLvl w:val="6"/>
    </w:pPr>
    <w:rPr>
      <w:rFonts w:asciiTheme="majorHAnsi" w:eastAsiaTheme="majorEastAsia" w:hAnsiTheme="majorHAnsi" w:cstheme="majorBidi"/>
      <w:i/>
      <w:iCs/>
      <w:color w:val="002E5B" w:themeColor="accent1" w:themeShade="7F"/>
    </w:rPr>
  </w:style>
  <w:style w:type="paragraph" w:styleId="Heading8">
    <w:name w:val="heading 8"/>
    <w:basedOn w:val="Normal"/>
    <w:next w:val="Normal"/>
    <w:link w:val="Heading8Char"/>
    <w:uiPriority w:val="9"/>
    <w:semiHidden/>
    <w:unhideWhenUsed/>
    <w:qFormat/>
    <w:rsid w:val="0016551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551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7597"/>
    <w:pPr>
      <w:ind w:left="720"/>
      <w:contextualSpacing/>
    </w:pPr>
  </w:style>
  <w:style w:type="paragraph" w:customStyle="1" w:styleId="paragraph">
    <w:name w:val="paragraph"/>
    <w:basedOn w:val="Normal"/>
    <w:rsid w:val="00885A52"/>
    <w:pPr>
      <w:spacing w:after="0" w:line="240" w:lineRule="auto"/>
    </w:pPr>
    <w:rPr>
      <w:rFonts w:ascii="Times New Roman" w:eastAsia="Times New Roman" w:hAnsi="Times New Roman" w:cs="Times New Roman"/>
      <w:sz w:val="24"/>
      <w:szCs w:val="24"/>
      <w:lang w:eastAsia="en-GB"/>
    </w:rPr>
  </w:style>
  <w:style w:type="character" w:customStyle="1" w:styleId="advancedproofingissue">
    <w:name w:val="advancedproofingissue"/>
    <w:basedOn w:val="DefaultParagraphFont"/>
    <w:rsid w:val="00885A52"/>
  </w:style>
  <w:style w:type="character" w:customStyle="1" w:styleId="normaltextrun1">
    <w:name w:val="normaltextrun1"/>
    <w:basedOn w:val="DefaultParagraphFont"/>
    <w:rsid w:val="00885A52"/>
  </w:style>
  <w:style w:type="character" w:customStyle="1" w:styleId="eop">
    <w:name w:val="eop"/>
    <w:basedOn w:val="DefaultParagraphFont"/>
    <w:rsid w:val="00885A52"/>
  </w:style>
  <w:style w:type="character" w:styleId="CommentReference">
    <w:name w:val="annotation reference"/>
    <w:basedOn w:val="DefaultParagraphFont"/>
    <w:uiPriority w:val="99"/>
    <w:semiHidden/>
    <w:unhideWhenUsed/>
    <w:rsid w:val="00E80F7E"/>
    <w:rPr>
      <w:sz w:val="16"/>
      <w:szCs w:val="16"/>
    </w:rPr>
  </w:style>
  <w:style w:type="paragraph" w:styleId="CommentText">
    <w:name w:val="annotation text"/>
    <w:basedOn w:val="Normal"/>
    <w:link w:val="CommentTextChar"/>
    <w:uiPriority w:val="99"/>
    <w:unhideWhenUsed/>
    <w:rsid w:val="00E80F7E"/>
    <w:pPr>
      <w:spacing w:line="240" w:lineRule="auto"/>
    </w:pPr>
  </w:style>
  <w:style w:type="character" w:customStyle="1" w:styleId="CommentTextChar">
    <w:name w:val="Comment Text Char"/>
    <w:basedOn w:val="DefaultParagraphFont"/>
    <w:link w:val="CommentText"/>
    <w:uiPriority w:val="99"/>
    <w:rsid w:val="00E80F7E"/>
    <w:rPr>
      <w:sz w:val="20"/>
      <w:szCs w:val="20"/>
    </w:rPr>
  </w:style>
  <w:style w:type="paragraph" w:styleId="CommentSubject">
    <w:name w:val="annotation subject"/>
    <w:basedOn w:val="CommentText"/>
    <w:next w:val="CommentText"/>
    <w:link w:val="CommentSubjectChar"/>
    <w:uiPriority w:val="99"/>
    <w:semiHidden/>
    <w:unhideWhenUsed/>
    <w:rsid w:val="00E80F7E"/>
    <w:rPr>
      <w:b/>
      <w:bCs w:val="0"/>
    </w:rPr>
  </w:style>
  <w:style w:type="character" w:customStyle="1" w:styleId="CommentSubjectChar">
    <w:name w:val="Comment Subject Char"/>
    <w:basedOn w:val="CommentTextChar"/>
    <w:link w:val="CommentSubject"/>
    <w:uiPriority w:val="99"/>
    <w:semiHidden/>
    <w:rsid w:val="00E80F7E"/>
    <w:rPr>
      <w:b/>
      <w:bCs/>
      <w:sz w:val="20"/>
      <w:szCs w:val="20"/>
    </w:rPr>
  </w:style>
  <w:style w:type="paragraph" w:styleId="BalloonText">
    <w:name w:val="Balloon Text"/>
    <w:basedOn w:val="Normal"/>
    <w:link w:val="BalloonTextChar"/>
    <w:uiPriority w:val="99"/>
    <w:semiHidden/>
    <w:unhideWhenUsed/>
    <w:rsid w:val="00E80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F7E"/>
    <w:rPr>
      <w:rFonts w:ascii="Segoe UI" w:hAnsi="Segoe UI" w:cs="Segoe UI"/>
      <w:sz w:val="18"/>
      <w:szCs w:val="18"/>
    </w:rPr>
  </w:style>
  <w:style w:type="paragraph" w:styleId="NoSpacing">
    <w:name w:val="No Spacing"/>
    <w:uiPriority w:val="1"/>
    <w:qFormat/>
    <w:rsid w:val="00BA29A0"/>
    <w:pPr>
      <w:spacing w:after="0" w:line="240" w:lineRule="auto"/>
    </w:pPr>
  </w:style>
  <w:style w:type="paragraph" w:styleId="NormalWeb">
    <w:name w:val="Normal (Web)"/>
    <w:basedOn w:val="Normal"/>
    <w:uiPriority w:val="99"/>
    <w:unhideWhenUsed/>
    <w:rsid w:val="00B81C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CB6966"/>
    <w:rPr>
      <w:rFonts w:asciiTheme="majorHAnsi" w:eastAsiaTheme="majorEastAsia" w:hAnsiTheme="majorHAnsi" w:cstheme="majorBidi"/>
      <w:bCs/>
      <w:color w:val="005EB8" w:themeColor="text2"/>
      <w:sz w:val="24"/>
      <w:szCs w:val="26"/>
    </w:rPr>
  </w:style>
  <w:style w:type="character" w:customStyle="1" w:styleId="Heading1Char">
    <w:name w:val="Heading 1 Char"/>
    <w:basedOn w:val="DefaultParagraphFont"/>
    <w:link w:val="Heading1"/>
    <w:uiPriority w:val="9"/>
    <w:rsid w:val="00CB6966"/>
    <w:rPr>
      <w:rFonts w:ascii="Arial" w:eastAsiaTheme="majorEastAsia" w:hAnsi="Arial" w:cstheme="majorBidi"/>
      <w:bCs/>
      <w:color w:val="005EB8" w:themeColor="text2"/>
      <w:sz w:val="24"/>
      <w:szCs w:val="24"/>
    </w:rPr>
  </w:style>
  <w:style w:type="character" w:customStyle="1" w:styleId="Heading3Char">
    <w:name w:val="Heading 3 Char"/>
    <w:basedOn w:val="DefaultParagraphFont"/>
    <w:link w:val="Heading3"/>
    <w:uiPriority w:val="9"/>
    <w:rsid w:val="00CB6966"/>
    <w:rPr>
      <w:rFonts w:asciiTheme="majorHAnsi" w:eastAsiaTheme="majorEastAsia" w:hAnsiTheme="majorHAnsi" w:cstheme="majorBidi"/>
      <w:bCs/>
      <w:color w:val="005EB8" w:themeColor="text2"/>
      <w:sz w:val="24"/>
      <w:szCs w:val="24"/>
    </w:rPr>
  </w:style>
  <w:style w:type="character" w:customStyle="1" w:styleId="Heading4Char">
    <w:name w:val="Heading 4 Char"/>
    <w:basedOn w:val="DefaultParagraphFont"/>
    <w:link w:val="Heading4"/>
    <w:uiPriority w:val="9"/>
    <w:rsid w:val="005B58B0"/>
    <w:rPr>
      <w:rFonts w:asciiTheme="majorHAnsi" w:eastAsiaTheme="majorEastAsia" w:hAnsiTheme="majorHAnsi" w:cstheme="majorBidi"/>
      <w:i/>
      <w:iCs/>
      <w:color w:val="004689" w:themeColor="accent1" w:themeShade="BF"/>
    </w:rPr>
  </w:style>
  <w:style w:type="character" w:customStyle="1" w:styleId="Heading5Char">
    <w:name w:val="Heading 5 Char"/>
    <w:basedOn w:val="DefaultParagraphFont"/>
    <w:link w:val="Heading5"/>
    <w:uiPriority w:val="9"/>
    <w:rsid w:val="005B58B0"/>
    <w:rPr>
      <w:rFonts w:asciiTheme="majorHAnsi" w:eastAsiaTheme="majorEastAsia" w:hAnsiTheme="majorHAnsi" w:cstheme="majorBidi"/>
      <w:color w:val="004689" w:themeColor="accent1" w:themeShade="BF"/>
    </w:rPr>
  </w:style>
  <w:style w:type="character" w:styleId="Hyperlink">
    <w:name w:val="Hyperlink"/>
    <w:basedOn w:val="DefaultParagraphFont"/>
    <w:uiPriority w:val="99"/>
    <w:unhideWhenUsed/>
    <w:rsid w:val="00E265A9"/>
    <w:rPr>
      <w:color w:val="0072CE" w:themeColor="hyperlink"/>
      <w:u w:val="single"/>
    </w:rPr>
  </w:style>
  <w:style w:type="character" w:styleId="UnresolvedMention">
    <w:name w:val="Unresolved Mention"/>
    <w:basedOn w:val="DefaultParagraphFont"/>
    <w:uiPriority w:val="99"/>
    <w:semiHidden/>
    <w:unhideWhenUsed/>
    <w:rsid w:val="00E265A9"/>
    <w:rPr>
      <w:color w:val="605E5C"/>
      <w:shd w:val="clear" w:color="auto" w:fill="E1DFDD"/>
    </w:rPr>
  </w:style>
  <w:style w:type="paragraph" w:styleId="EndnoteText">
    <w:name w:val="endnote text"/>
    <w:basedOn w:val="Normal"/>
    <w:link w:val="EndnoteTextChar"/>
    <w:uiPriority w:val="99"/>
    <w:unhideWhenUsed/>
    <w:rsid w:val="0041212E"/>
    <w:pPr>
      <w:spacing w:after="0" w:line="240" w:lineRule="auto"/>
    </w:pPr>
  </w:style>
  <w:style w:type="character" w:customStyle="1" w:styleId="EndnoteTextChar">
    <w:name w:val="Endnote Text Char"/>
    <w:basedOn w:val="DefaultParagraphFont"/>
    <w:link w:val="EndnoteText"/>
    <w:uiPriority w:val="99"/>
    <w:rsid w:val="0041212E"/>
    <w:rPr>
      <w:sz w:val="20"/>
      <w:szCs w:val="20"/>
    </w:rPr>
  </w:style>
  <w:style w:type="character" w:styleId="EndnoteReference">
    <w:name w:val="endnote reference"/>
    <w:basedOn w:val="DefaultParagraphFont"/>
    <w:uiPriority w:val="99"/>
    <w:semiHidden/>
    <w:unhideWhenUsed/>
    <w:rsid w:val="0041212E"/>
    <w:rPr>
      <w:vertAlign w:val="superscript"/>
    </w:rPr>
  </w:style>
  <w:style w:type="character" w:styleId="IntenseReference">
    <w:name w:val="Intense Reference"/>
    <w:basedOn w:val="DefaultParagraphFont"/>
    <w:uiPriority w:val="32"/>
    <w:qFormat/>
    <w:rsid w:val="0035674C"/>
    <w:rPr>
      <w:b/>
      <w:bCs/>
      <w:smallCaps/>
      <w:color w:val="005EB8" w:themeColor="accent1"/>
      <w:spacing w:val="5"/>
    </w:rPr>
  </w:style>
  <w:style w:type="paragraph" w:styleId="TOCHeading">
    <w:name w:val="TOC Heading"/>
    <w:basedOn w:val="Heading1"/>
    <w:next w:val="Normal"/>
    <w:uiPriority w:val="39"/>
    <w:unhideWhenUsed/>
    <w:qFormat/>
    <w:rsid w:val="003629ED"/>
    <w:pPr>
      <w:numPr>
        <w:numId w:val="0"/>
      </w:numPr>
      <w:outlineLvl w:val="9"/>
    </w:pPr>
    <w:rPr>
      <w:rFonts w:asciiTheme="majorHAnsi" w:hAnsiTheme="majorHAnsi"/>
      <w:bCs w:val="0"/>
      <w:color w:val="004689" w:themeColor="accent1" w:themeShade="BF"/>
      <w:sz w:val="32"/>
      <w:szCs w:val="32"/>
      <w:lang w:val="en-US"/>
    </w:rPr>
  </w:style>
  <w:style w:type="paragraph" w:styleId="TOC1">
    <w:name w:val="toc 1"/>
    <w:basedOn w:val="Normal"/>
    <w:next w:val="Normal"/>
    <w:autoRedefine/>
    <w:uiPriority w:val="39"/>
    <w:unhideWhenUsed/>
    <w:rsid w:val="00185897"/>
    <w:pPr>
      <w:tabs>
        <w:tab w:val="left" w:pos="660"/>
        <w:tab w:val="right" w:leader="dot" w:pos="9016"/>
      </w:tabs>
      <w:spacing w:after="100"/>
    </w:pPr>
  </w:style>
  <w:style w:type="paragraph" w:styleId="FootnoteText">
    <w:name w:val="footnote text"/>
    <w:basedOn w:val="Normal"/>
    <w:link w:val="FootnoteTextChar"/>
    <w:uiPriority w:val="99"/>
    <w:semiHidden/>
    <w:unhideWhenUsed/>
    <w:rsid w:val="004E0147"/>
    <w:pPr>
      <w:spacing w:after="0" w:line="240" w:lineRule="auto"/>
    </w:pPr>
  </w:style>
  <w:style w:type="character" w:customStyle="1" w:styleId="FootnoteTextChar">
    <w:name w:val="Footnote Text Char"/>
    <w:basedOn w:val="DefaultParagraphFont"/>
    <w:link w:val="FootnoteText"/>
    <w:uiPriority w:val="99"/>
    <w:semiHidden/>
    <w:rsid w:val="004E0147"/>
    <w:rPr>
      <w:bCs/>
      <w:sz w:val="20"/>
      <w:szCs w:val="20"/>
    </w:rPr>
  </w:style>
  <w:style w:type="character" w:styleId="FootnoteReference">
    <w:name w:val="footnote reference"/>
    <w:basedOn w:val="DefaultParagraphFont"/>
    <w:uiPriority w:val="99"/>
    <w:semiHidden/>
    <w:unhideWhenUsed/>
    <w:rsid w:val="004E0147"/>
    <w:rPr>
      <w:vertAlign w:val="superscript"/>
    </w:rPr>
  </w:style>
  <w:style w:type="paragraph" w:styleId="Header">
    <w:name w:val="header"/>
    <w:basedOn w:val="Normal"/>
    <w:link w:val="HeaderChar"/>
    <w:uiPriority w:val="99"/>
    <w:unhideWhenUsed/>
    <w:rsid w:val="00CE3C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CA0"/>
    <w:rPr>
      <w:bCs/>
      <w:sz w:val="20"/>
      <w:szCs w:val="20"/>
    </w:rPr>
  </w:style>
  <w:style w:type="paragraph" w:styleId="Footer">
    <w:name w:val="footer"/>
    <w:basedOn w:val="Normal"/>
    <w:link w:val="FooterChar"/>
    <w:uiPriority w:val="99"/>
    <w:unhideWhenUsed/>
    <w:rsid w:val="00CE3C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CA0"/>
    <w:rPr>
      <w:bCs/>
      <w:sz w:val="20"/>
      <w:szCs w:val="20"/>
    </w:rPr>
  </w:style>
  <w:style w:type="character" w:styleId="FollowedHyperlink">
    <w:name w:val="FollowedHyperlink"/>
    <w:basedOn w:val="DefaultParagraphFont"/>
    <w:uiPriority w:val="99"/>
    <w:semiHidden/>
    <w:unhideWhenUsed/>
    <w:rsid w:val="00854E32"/>
    <w:rPr>
      <w:color w:val="330072" w:themeColor="followedHyperlink"/>
      <w:u w:val="single"/>
    </w:rPr>
  </w:style>
  <w:style w:type="paragraph" w:styleId="Revision">
    <w:name w:val="Revision"/>
    <w:hidden/>
    <w:uiPriority w:val="99"/>
    <w:semiHidden/>
    <w:rsid w:val="007B278D"/>
    <w:pPr>
      <w:spacing w:after="0" w:line="240" w:lineRule="auto"/>
    </w:pPr>
    <w:rPr>
      <w:bCs/>
      <w:sz w:val="20"/>
      <w:szCs w:val="20"/>
    </w:rPr>
  </w:style>
  <w:style w:type="character" w:styleId="SubtleEmphasis">
    <w:name w:val="Subtle Emphasis"/>
    <w:basedOn w:val="DefaultParagraphFont"/>
    <w:uiPriority w:val="19"/>
    <w:qFormat/>
    <w:rsid w:val="00D63E5E"/>
    <w:rPr>
      <w:i/>
      <w:iCs/>
      <w:color w:val="808080" w:themeColor="text1" w:themeTint="7F"/>
    </w:rPr>
  </w:style>
  <w:style w:type="character" w:styleId="PageNumber">
    <w:name w:val="page number"/>
    <w:basedOn w:val="DefaultParagraphFont"/>
    <w:uiPriority w:val="99"/>
    <w:semiHidden/>
    <w:unhideWhenUsed/>
    <w:rsid w:val="00B22D58"/>
  </w:style>
  <w:style w:type="table" w:styleId="ListTable4-Accent1">
    <w:name w:val="List Table 4 Accent 1"/>
    <w:basedOn w:val="TableNormal"/>
    <w:uiPriority w:val="49"/>
    <w:rsid w:val="00DF5DEA"/>
    <w:pPr>
      <w:spacing w:after="0" w:line="240" w:lineRule="auto"/>
    </w:pPr>
    <w:tblPr>
      <w:tblStyleRowBandSize w:val="1"/>
      <w:tblStyleColBandSize w:val="1"/>
      <w:tblBorders>
        <w:top w:val="single" w:sz="4" w:space="0" w:color="3B9FFF" w:themeColor="accent1" w:themeTint="99"/>
        <w:left w:val="single" w:sz="4" w:space="0" w:color="3B9FFF" w:themeColor="accent1" w:themeTint="99"/>
        <w:bottom w:val="single" w:sz="4" w:space="0" w:color="3B9FFF" w:themeColor="accent1" w:themeTint="99"/>
        <w:right w:val="single" w:sz="4" w:space="0" w:color="3B9FFF" w:themeColor="accent1" w:themeTint="99"/>
        <w:insideH w:val="single" w:sz="4" w:space="0" w:color="3B9FFF" w:themeColor="accent1" w:themeTint="99"/>
      </w:tblBorders>
    </w:tblPr>
    <w:tblStylePr w:type="firstRow">
      <w:rPr>
        <w:b/>
        <w:bCs/>
        <w:color w:val="FFFFFF" w:themeColor="background1"/>
      </w:rPr>
      <w:tblPr/>
      <w:tcPr>
        <w:tcBorders>
          <w:top w:val="single" w:sz="4" w:space="0" w:color="005EB8" w:themeColor="accent1"/>
          <w:left w:val="single" w:sz="4" w:space="0" w:color="005EB8" w:themeColor="accent1"/>
          <w:bottom w:val="single" w:sz="4" w:space="0" w:color="005EB8" w:themeColor="accent1"/>
          <w:right w:val="single" w:sz="4" w:space="0" w:color="005EB8" w:themeColor="accent1"/>
          <w:insideH w:val="nil"/>
        </w:tcBorders>
        <w:shd w:val="clear" w:color="auto" w:fill="005EB8" w:themeFill="accent1"/>
      </w:tcPr>
    </w:tblStylePr>
    <w:tblStylePr w:type="lastRow">
      <w:rPr>
        <w:b/>
        <w:bCs/>
      </w:rPr>
      <w:tblPr/>
      <w:tcPr>
        <w:tcBorders>
          <w:top w:val="double" w:sz="4" w:space="0" w:color="3B9FFF" w:themeColor="accent1" w:themeTint="99"/>
        </w:tcBorders>
      </w:tcPr>
    </w:tblStylePr>
    <w:tblStylePr w:type="firstCol">
      <w:rPr>
        <w:b/>
        <w:bCs/>
      </w:r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 w:type="paragraph" w:styleId="TOC3">
    <w:name w:val="toc 3"/>
    <w:basedOn w:val="Normal"/>
    <w:next w:val="Normal"/>
    <w:autoRedefine/>
    <w:uiPriority w:val="39"/>
    <w:unhideWhenUsed/>
    <w:rsid w:val="001F3797"/>
    <w:pPr>
      <w:spacing w:after="100"/>
      <w:ind w:left="400"/>
    </w:pPr>
  </w:style>
  <w:style w:type="paragraph" w:styleId="TOC2">
    <w:name w:val="toc 2"/>
    <w:basedOn w:val="Normal"/>
    <w:next w:val="Normal"/>
    <w:autoRedefine/>
    <w:uiPriority w:val="39"/>
    <w:unhideWhenUsed/>
    <w:rsid w:val="001F3797"/>
    <w:pPr>
      <w:spacing w:after="100"/>
      <w:ind w:left="200"/>
    </w:pPr>
  </w:style>
  <w:style w:type="paragraph" w:styleId="Bibliography">
    <w:name w:val="Bibliography"/>
    <w:basedOn w:val="Normal"/>
    <w:next w:val="Normal"/>
    <w:uiPriority w:val="37"/>
    <w:semiHidden/>
    <w:unhideWhenUsed/>
    <w:rsid w:val="0016551E"/>
  </w:style>
  <w:style w:type="paragraph" w:styleId="BlockText">
    <w:name w:val="Block Text"/>
    <w:basedOn w:val="Normal"/>
    <w:uiPriority w:val="99"/>
    <w:semiHidden/>
    <w:unhideWhenUsed/>
    <w:rsid w:val="0016551E"/>
    <w:pPr>
      <w:pBdr>
        <w:top w:val="single" w:sz="2" w:space="10" w:color="005EB8" w:themeColor="accent1"/>
        <w:left w:val="single" w:sz="2" w:space="10" w:color="005EB8" w:themeColor="accent1"/>
        <w:bottom w:val="single" w:sz="2" w:space="10" w:color="005EB8" w:themeColor="accent1"/>
        <w:right w:val="single" w:sz="2" w:space="10" w:color="005EB8" w:themeColor="accent1"/>
      </w:pBdr>
      <w:ind w:left="1152" w:right="1152"/>
    </w:pPr>
    <w:rPr>
      <w:rFonts w:eastAsiaTheme="minorEastAsia"/>
      <w:i/>
      <w:iCs/>
      <w:color w:val="005EB8" w:themeColor="accent1"/>
    </w:rPr>
  </w:style>
  <w:style w:type="paragraph" w:styleId="BodyText">
    <w:name w:val="Body Text"/>
    <w:basedOn w:val="Normal"/>
    <w:link w:val="BodyTextChar"/>
    <w:uiPriority w:val="99"/>
    <w:semiHidden/>
    <w:unhideWhenUsed/>
    <w:rsid w:val="0016551E"/>
    <w:pPr>
      <w:spacing w:after="120"/>
    </w:pPr>
  </w:style>
  <w:style w:type="character" w:customStyle="1" w:styleId="BodyTextChar">
    <w:name w:val="Body Text Char"/>
    <w:basedOn w:val="DefaultParagraphFont"/>
    <w:link w:val="BodyText"/>
    <w:uiPriority w:val="99"/>
    <w:semiHidden/>
    <w:rsid w:val="0016551E"/>
    <w:rPr>
      <w:bCs/>
      <w:sz w:val="20"/>
      <w:szCs w:val="20"/>
    </w:rPr>
  </w:style>
  <w:style w:type="paragraph" w:styleId="BodyText2">
    <w:name w:val="Body Text 2"/>
    <w:basedOn w:val="Normal"/>
    <w:link w:val="BodyText2Char"/>
    <w:uiPriority w:val="99"/>
    <w:semiHidden/>
    <w:unhideWhenUsed/>
    <w:rsid w:val="0016551E"/>
    <w:pPr>
      <w:spacing w:after="120" w:line="480" w:lineRule="auto"/>
    </w:pPr>
  </w:style>
  <w:style w:type="character" w:customStyle="1" w:styleId="BodyText2Char">
    <w:name w:val="Body Text 2 Char"/>
    <w:basedOn w:val="DefaultParagraphFont"/>
    <w:link w:val="BodyText2"/>
    <w:uiPriority w:val="99"/>
    <w:semiHidden/>
    <w:rsid w:val="0016551E"/>
    <w:rPr>
      <w:bCs/>
      <w:sz w:val="20"/>
      <w:szCs w:val="20"/>
    </w:rPr>
  </w:style>
  <w:style w:type="paragraph" w:styleId="BodyText3">
    <w:name w:val="Body Text 3"/>
    <w:basedOn w:val="Normal"/>
    <w:link w:val="BodyText3Char"/>
    <w:uiPriority w:val="99"/>
    <w:semiHidden/>
    <w:unhideWhenUsed/>
    <w:rsid w:val="0016551E"/>
    <w:pPr>
      <w:spacing w:after="120"/>
    </w:pPr>
    <w:rPr>
      <w:sz w:val="16"/>
      <w:szCs w:val="16"/>
    </w:rPr>
  </w:style>
  <w:style w:type="character" w:customStyle="1" w:styleId="BodyText3Char">
    <w:name w:val="Body Text 3 Char"/>
    <w:basedOn w:val="DefaultParagraphFont"/>
    <w:link w:val="BodyText3"/>
    <w:uiPriority w:val="99"/>
    <w:semiHidden/>
    <w:rsid w:val="0016551E"/>
    <w:rPr>
      <w:bCs/>
      <w:sz w:val="16"/>
      <w:szCs w:val="16"/>
    </w:rPr>
  </w:style>
  <w:style w:type="paragraph" w:styleId="BodyTextFirstIndent">
    <w:name w:val="Body Text First Indent"/>
    <w:basedOn w:val="BodyText"/>
    <w:link w:val="BodyTextFirstIndentChar"/>
    <w:uiPriority w:val="99"/>
    <w:semiHidden/>
    <w:unhideWhenUsed/>
    <w:rsid w:val="0016551E"/>
    <w:pPr>
      <w:spacing w:after="160"/>
      <w:ind w:firstLine="360"/>
    </w:pPr>
  </w:style>
  <w:style w:type="character" w:customStyle="1" w:styleId="BodyTextFirstIndentChar">
    <w:name w:val="Body Text First Indent Char"/>
    <w:basedOn w:val="BodyTextChar"/>
    <w:link w:val="BodyTextFirstIndent"/>
    <w:uiPriority w:val="99"/>
    <w:semiHidden/>
    <w:rsid w:val="0016551E"/>
    <w:rPr>
      <w:bCs/>
      <w:sz w:val="20"/>
      <w:szCs w:val="20"/>
    </w:rPr>
  </w:style>
  <w:style w:type="paragraph" w:styleId="BodyTextIndent">
    <w:name w:val="Body Text Indent"/>
    <w:basedOn w:val="Normal"/>
    <w:link w:val="BodyTextIndentChar"/>
    <w:uiPriority w:val="99"/>
    <w:semiHidden/>
    <w:unhideWhenUsed/>
    <w:rsid w:val="0016551E"/>
    <w:pPr>
      <w:spacing w:after="120"/>
      <w:ind w:left="283"/>
    </w:pPr>
  </w:style>
  <w:style w:type="character" w:customStyle="1" w:styleId="BodyTextIndentChar">
    <w:name w:val="Body Text Indent Char"/>
    <w:basedOn w:val="DefaultParagraphFont"/>
    <w:link w:val="BodyTextIndent"/>
    <w:uiPriority w:val="99"/>
    <w:semiHidden/>
    <w:rsid w:val="0016551E"/>
    <w:rPr>
      <w:bCs/>
      <w:sz w:val="20"/>
      <w:szCs w:val="20"/>
    </w:rPr>
  </w:style>
  <w:style w:type="paragraph" w:styleId="BodyTextFirstIndent2">
    <w:name w:val="Body Text First Indent 2"/>
    <w:basedOn w:val="BodyTextIndent"/>
    <w:link w:val="BodyTextFirstIndent2Char"/>
    <w:uiPriority w:val="99"/>
    <w:semiHidden/>
    <w:unhideWhenUsed/>
    <w:rsid w:val="0016551E"/>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16551E"/>
    <w:rPr>
      <w:bCs/>
      <w:sz w:val="20"/>
      <w:szCs w:val="20"/>
    </w:rPr>
  </w:style>
  <w:style w:type="paragraph" w:styleId="BodyTextIndent2">
    <w:name w:val="Body Text Indent 2"/>
    <w:basedOn w:val="Normal"/>
    <w:link w:val="BodyTextIndent2Char"/>
    <w:uiPriority w:val="99"/>
    <w:semiHidden/>
    <w:unhideWhenUsed/>
    <w:rsid w:val="0016551E"/>
    <w:pPr>
      <w:spacing w:after="120" w:line="480" w:lineRule="auto"/>
      <w:ind w:left="283"/>
    </w:pPr>
  </w:style>
  <w:style w:type="character" w:customStyle="1" w:styleId="BodyTextIndent2Char">
    <w:name w:val="Body Text Indent 2 Char"/>
    <w:basedOn w:val="DefaultParagraphFont"/>
    <w:link w:val="BodyTextIndent2"/>
    <w:uiPriority w:val="99"/>
    <w:semiHidden/>
    <w:rsid w:val="0016551E"/>
    <w:rPr>
      <w:bCs/>
      <w:sz w:val="20"/>
      <w:szCs w:val="20"/>
    </w:rPr>
  </w:style>
  <w:style w:type="paragraph" w:styleId="BodyTextIndent3">
    <w:name w:val="Body Text Indent 3"/>
    <w:basedOn w:val="Normal"/>
    <w:link w:val="BodyTextIndent3Char"/>
    <w:uiPriority w:val="99"/>
    <w:semiHidden/>
    <w:unhideWhenUsed/>
    <w:rsid w:val="0016551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6551E"/>
    <w:rPr>
      <w:bCs/>
      <w:sz w:val="16"/>
      <w:szCs w:val="16"/>
    </w:rPr>
  </w:style>
  <w:style w:type="paragraph" w:styleId="Caption">
    <w:name w:val="caption"/>
    <w:basedOn w:val="Normal"/>
    <w:next w:val="Normal"/>
    <w:uiPriority w:val="35"/>
    <w:semiHidden/>
    <w:unhideWhenUsed/>
    <w:qFormat/>
    <w:rsid w:val="0016551E"/>
    <w:pPr>
      <w:spacing w:after="200" w:line="240" w:lineRule="auto"/>
    </w:pPr>
    <w:rPr>
      <w:i/>
      <w:iCs/>
      <w:color w:val="005EB8" w:themeColor="text2"/>
      <w:sz w:val="18"/>
      <w:szCs w:val="18"/>
    </w:rPr>
  </w:style>
  <w:style w:type="paragraph" w:styleId="Closing">
    <w:name w:val="Closing"/>
    <w:basedOn w:val="Normal"/>
    <w:link w:val="ClosingChar"/>
    <w:uiPriority w:val="99"/>
    <w:semiHidden/>
    <w:unhideWhenUsed/>
    <w:rsid w:val="0016551E"/>
    <w:pPr>
      <w:spacing w:after="0" w:line="240" w:lineRule="auto"/>
      <w:ind w:left="4252"/>
    </w:pPr>
  </w:style>
  <w:style w:type="character" w:customStyle="1" w:styleId="ClosingChar">
    <w:name w:val="Closing Char"/>
    <w:basedOn w:val="DefaultParagraphFont"/>
    <w:link w:val="Closing"/>
    <w:uiPriority w:val="99"/>
    <w:semiHidden/>
    <w:rsid w:val="0016551E"/>
    <w:rPr>
      <w:bCs/>
      <w:sz w:val="20"/>
      <w:szCs w:val="20"/>
    </w:rPr>
  </w:style>
  <w:style w:type="paragraph" w:styleId="Date">
    <w:name w:val="Date"/>
    <w:basedOn w:val="Normal"/>
    <w:next w:val="Normal"/>
    <w:link w:val="DateChar"/>
    <w:uiPriority w:val="99"/>
    <w:semiHidden/>
    <w:unhideWhenUsed/>
    <w:rsid w:val="0016551E"/>
  </w:style>
  <w:style w:type="character" w:customStyle="1" w:styleId="DateChar">
    <w:name w:val="Date Char"/>
    <w:basedOn w:val="DefaultParagraphFont"/>
    <w:link w:val="Date"/>
    <w:uiPriority w:val="99"/>
    <w:semiHidden/>
    <w:rsid w:val="0016551E"/>
    <w:rPr>
      <w:bCs/>
      <w:sz w:val="20"/>
      <w:szCs w:val="20"/>
    </w:rPr>
  </w:style>
  <w:style w:type="paragraph" w:styleId="DocumentMap">
    <w:name w:val="Document Map"/>
    <w:basedOn w:val="Normal"/>
    <w:link w:val="DocumentMapChar"/>
    <w:uiPriority w:val="99"/>
    <w:semiHidden/>
    <w:unhideWhenUsed/>
    <w:rsid w:val="0016551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551E"/>
    <w:rPr>
      <w:rFonts w:ascii="Segoe UI" w:hAnsi="Segoe UI" w:cs="Segoe UI"/>
      <w:bCs/>
      <w:sz w:val="16"/>
      <w:szCs w:val="16"/>
    </w:rPr>
  </w:style>
  <w:style w:type="paragraph" w:styleId="EmailSignature">
    <w:name w:val="E-mail Signature"/>
    <w:basedOn w:val="Normal"/>
    <w:link w:val="EmailSignatureChar"/>
    <w:uiPriority w:val="99"/>
    <w:semiHidden/>
    <w:unhideWhenUsed/>
    <w:rsid w:val="0016551E"/>
    <w:pPr>
      <w:spacing w:after="0" w:line="240" w:lineRule="auto"/>
    </w:pPr>
  </w:style>
  <w:style w:type="character" w:customStyle="1" w:styleId="EmailSignatureChar">
    <w:name w:val="Email Signature Char"/>
    <w:basedOn w:val="DefaultParagraphFont"/>
    <w:link w:val="EmailSignature"/>
    <w:uiPriority w:val="99"/>
    <w:semiHidden/>
    <w:rsid w:val="0016551E"/>
    <w:rPr>
      <w:bCs/>
      <w:sz w:val="20"/>
      <w:szCs w:val="20"/>
    </w:rPr>
  </w:style>
  <w:style w:type="paragraph" w:styleId="EnvelopeAddress">
    <w:name w:val="envelope address"/>
    <w:basedOn w:val="Normal"/>
    <w:uiPriority w:val="99"/>
    <w:semiHidden/>
    <w:unhideWhenUsed/>
    <w:rsid w:val="0016551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6551E"/>
    <w:pPr>
      <w:spacing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6551E"/>
    <w:rPr>
      <w:rFonts w:asciiTheme="majorHAnsi" w:eastAsiaTheme="majorEastAsia" w:hAnsiTheme="majorHAnsi" w:cstheme="majorBidi"/>
      <w:bCs/>
      <w:color w:val="002E5B" w:themeColor="accent1" w:themeShade="7F"/>
      <w:sz w:val="20"/>
      <w:szCs w:val="20"/>
    </w:rPr>
  </w:style>
  <w:style w:type="character" w:customStyle="1" w:styleId="Heading7Char">
    <w:name w:val="Heading 7 Char"/>
    <w:basedOn w:val="DefaultParagraphFont"/>
    <w:link w:val="Heading7"/>
    <w:uiPriority w:val="9"/>
    <w:semiHidden/>
    <w:rsid w:val="0016551E"/>
    <w:rPr>
      <w:rFonts w:asciiTheme="majorHAnsi" w:eastAsiaTheme="majorEastAsia" w:hAnsiTheme="majorHAnsi" w:cstheme="majorBidi"/>
      <w:bCs/>
      <w:i/>
      <w:iCs/>
      <w:color w:val="002E5B" w:themeColor="accent1" w:themeShade="7F"/>
      <w:sz w:val="20"/>
      <w:szCs w:val="20"/>
    </w:rPr>
  </w:style>
  <w:style w:type="character" w:customStyle="1" w:styleId="Heading8Char">
    <w:name w:val="Heading 8 Char"/>
    <w:basedOn w:val="DefaultParagraphFont"/>
    <w:link w:val="Heading8"/>
    <w:uiPriority w:val="9"/>
    <w:semiHidden/>
    <w:rsid w:val="0016551E"/>
    <w:rPr>
      <w:rFonts w:asciiTheme="majorHAnsi" w:eastAsiaTheme="majorEastAsia" w:hAnsiTheme="majorHAnsi" w:cstheme="majorBidi"/>
      <w:bCs/>
      <w:color w:val="272727" w:themeColor="text1" w:themeTint="D8"/>
      <w:sz w:val="21"/>
      <w:szCs w:val="21"/>
    </w:rPr>
  </w:style>
  <w:style w:type="character" w:customStyle="1" w:styleId="Heading9Char">
    <w:name w:val="Heading 9 Char"/>
    <w:basedOn w:val="DefaultParagraphFont"/>
    <w:link w:val="Heading9"/>
    <w:uiPriority w:val="9"/>
    <w:semiHidden/>
    <w:rsid w:val="0016551E"/>
    <w:rPr>
      <w:rFonts w:asciiTheme="majorHAnsi" w:eastAsiaTheme="majorEastAsia" w:hAnsiTheme="majorHAnsi" w:cstheme="majorBidi"/>
      <w:bCs/>
      <w:i/>
      <w:iCs/>
      <w:color w:val="272727" w:themeColor="text1" w:themeTint="D8"/>
      <w:sz w:val="21"/>
      <w:szCs w:val="21"/>
    </w:rPr>
  </w:style>
  <w:style w:type="paragraph" w:styleId="HTMLAddress">
    <w:name w:val="HTML Address"/>
    <w:basedOn w:val="Normal"/>
    <w:link w:val="HTMLAddressChar"/>
    <w:uiPriority w:val="99"/>
    <w:semiHidden/>
    <w:unhideWhenUsed/>
    <w:rsid w:val="0016551E"/>
    <w:pPr>
      <w:spacing w:after="0" w:line="240" w:lineRule="auto"/>
    </w:pPr>
    <w:rPr>
      <w:i/>
      <w:iCs/>
    </w:rPr>
  </w:style>
  <w:style w:type="character" w:customStyle="1" w:styleId="HTMLAddressChar">
    <w:name w:val="HTML Address Char"/>
    <w:basedOn w:val="DefaultParagraphFont"/>
    <w:link w:val="HTMLAddress"/>
    <w:uiPriority w:val="99"/>
    <w:semiHidden/>
    <w:rsid w:val="0016551E"/>
    <w:rPr>
      <w:bCs/>
      <w:i/>
      <w:iCs/>
      <w:sz w:val="20"/>
      <w:szCs w:val="20"/>
    </w:rPr>
  </w:style>
  <w:style w:type="paragraph" w:styleId="HTMLPreformatted">
    <w:name w:val="HTML Preformatted"/>
    <w:basedOn w:val="Normal"/>
    <w:link w:val="HTMLPreformattedChar"/>
    <w:uiPriority w:val="99"/>
    <w:semiHidden/>
    <w:unhideWhenUsed/>
    <w:rsid w:val="0016551E"/>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6551E"/>
    <w:rPr>
      <w:rFonts w:ascii="Consolas" w:hAnsi="Consolas"/>
      <w:bCs/>
      <w:sz w:val="20"/>
      <w:szCs w:val="20"/>
    </w:rPr>
  </w:style>
  <w:style w:type="paragraph" w:styleId="Index1">
    <w:name w:val="index 1"/>
    <w:basedOn w:val="Normal"/>
    <w:next w:val="Normal"/>
    <w:autoRedefine/>
    <w:uiPriority w:val="99"/>
    <w:semiHidden/>
    <w:unhideWhenUsed/>
    <w:rsid w:val="0016551E"/>
    <w:pPr>
      <w:spacing w:after="0" w:line="240" w:lineRule="auto"/>
      <w:ind w:left="200" w:hanging="200"/>
    </w:pPr>
  </w:style>
  <w:style w:type="paragraph" w:styleId="Index2">
    <w:name w:val="index 2"/>
    <w:basedOn w:val="Normal"/>
    <w:next w:val="Normal"/>
    <w:autoRedefine/>
    <w:uiPriority w:val="99"/>
    <w:semiHidden/>
    <w:unhideWhenUsed/>
    <w:rsid w:val="0016551E"/>
    <w:pPr>
      <w:spacing w:after="0" w:line="240" w:lineRule="auto"/>
      <w:ind w:left="400" w:hanging="200"/>
    </w:pPr>
  </w:style>
  <w:style w:type="paragraph" w:styleId="Index3">
    <w:name w:val="index 3"/>
    <w:basedOn w:val="Normal"/>
    <w:next w:val="Normal"/>
    <w:autoRedefine/>
    <w:uiPriority w:val="99"/>
    <w:semiHidden/>
    <w:unhideWhenUsed/>
    <w:rsid w:val="0016551E"/>
    <w:pPr>
      <w:spacing w:after="0" w:line="240" w:lineRule="auto"/>
      <w:ind w:left="600" w:hanging="200"/>
    </w:pPr>
  </w:style>
  <w:style w:type="paragraph" w:styleId="Index4">
    <w:name w:val="index 4"/>
    <w:basedOn w:val="Normal"/>
    <w:next w:val="Normal"/>
    <w:autoRedefine/>
    <w:uiPriority w:val="99"/>
    <w:semiHidden/>
    <w:unhideWhenUsed/>
    <w:rsid w:val="0016551E"/>
    <w:pPr>
      <w:spacing w:after="0" w:line="240" w:lineRule="auto"/>
      <w:ind w:left="800" w:hanging="200"/>
    </w:pPr>
  </w:style>
  <w:style w:type="paragraph" w:styleId="Index5">
    <w:name w:val="index 5"/>
    <w:basedOn w:val="Normal"/>
    <w:next w:val="Normal"/>
    <w:autoRedefine/>
    <w:uiPriority w:val="99"/>
    <w:semiHidden/>
    <w:unhideWhenUsed/>
    <w:rsid w:val="0016551E"/>
    <w:pPr>
      <w:spacing w:after="0" w:line="240" w:lineRule="auto"/>
      <w:ind w:left="1000" w:hanging="200"/>
    </w:pPr>
  </w:style>
  <w:style w:type="paragraph" w:styleId="Index6">
    <w:name w:val="index 6"/>
    <w:basedOn w:val="Normal"/>
    <w:next w:val="Normal"/>
    <w:autoRedefine/>
    <w:uiPriority w:val="99"/>
    <w:semiHidden/>
    <w:unhideWhenUsed/>
    <w:rsid w:val="0016551E"/>
    <w:pPr>
      <w:spacing w:after="0" w:line="240" w:lineRule="auto"/>
      <w:ind w:left="1200" w:hanging="200"/>
    </w:pPr>
  </w:style>
  <w:style w:type="paragraph" w:styleId="Index7">
    <w:name w:val="index 7"/>
    <w:basedOn w:val="Normal"/>
    <w:next w:val="Normal"/>
    <w:autoRedefine/>
    <w:uiPriority w:val="99"/>
    <w:semiHidden/>
    <w:unhideWhenUsed/>
    <w:rsid w:val="0016551E"/>
    <w:pPr>
      <w:spacing w:after="0" w:line="240" w:lineRule="auto"/>
      <w:ind w:left="1400" w:hanging="200"/>
    </w:pPr>
  </w:style>
  <w:style w:type="paragraph" w:styleId="Index8">
    <w:name w:val="index 8"/>
    <w:basedOn w:val="Normal"/>
    <w:next w:val="Normal"/>
    <w:autoRedefine/>
    <w:uiPriority w:val="99"/>
    <w:semiHidden/>
    <w:unhideWhenUsed/>
    <w:rsid w:val="0016551E"/>
    <w:pPr>
      <w:spacing w:after="0" w:line="240" w:lineRule="auto"/>
      <w:ind w:left="1600" w:hanging="200"/>
    </w:pPr>
  </w:style>
  <w:style w:type="paragraph" w:styleId="Index9">
    <w:name w:val="index 9"/>
    <w:basedOn w:val="Normal"/>
    <w:next w:val="Normal"/>
    <w:autoRedefine/>
    <w:uiPriority w:val="99"/>
    <w:semiHidden/>
    <w:unhideWhenUsed/>
    <w:rsid w:val="0016551E"/>
    <w:pPr>
      <w:spacing w:after="0" w:line="240" w:lineRule="auto"/>
      <w:ind w:left="1800" w:hanging="200"/>
    </w:pPr>
  </w:style>
  <w:style w:type="paragraph" w:styleId="IndexHeading">
    <w:name w:val="index heading"/>
    <w:basedOn w:val="Normal"/>
    <w:next w:val="Index1"/>
    <w:uiPriority w:val="99"/>
    <w:semiHidden/>
    <w:unhideWhenUsed/>
    <w:rsid w:val="0016551E"/>
    <w:rPr>
      <w:rFonts w:asciiTheme="majorHAnsi" w:eastAsiaTheme="majorEastAsia" w:hAnsiTheme="majorHAnsi" w:cstheme="majorBidi"/>
      <w:b/>
    </w:rPr>
  </w:style>
  <w:style w:type="paragraph" w:styleId="IntenseQuote">
    <w:name w:val="Intense Quote"/>
    <w:basedOn w:val="Normal"/>
    <w:next w:val="Normal"/>
    <w:link w:val="IntenseQuoteChar"/>
    <w:uiPriority w:val="30"/>
    <w:qFormat/>
    <w:rsid w:val="0016551E"/>
    <w:pPr>
      <w:pBdr>
        <w:top w:val="single" w:sz="4" w:space="10" w:color="005EB8" w:themeColor="accent1"/>
        <w:bottom w:val="single" w:sz="4" w:space="10" w:color="005EB8" w:themeColor="accent1"/>
      </w:pBdr>
      <w:spacing w:before="360" w:after="360"/>
      <w:ind w:left="864" w:right="864"/>
      <w:jc w:val="center"/>
    </w:pPr>
    <w:rPr>
      <w:i/>
      <w:iCs/>
      <w:color w:val="005EB8" w:themeColor="accent1"/>
    </w:rPr>
  </w:style>
  <w:style w:type="character" w:customStyle="1" w:styleId="IntenseQuoteChar">
    <w:name w:val="Intense Quote Char"/>
    <w:basedOn w:val="DefaultParagraphFont"/>
    <w:link w:val="IntenseQuote"/>
    <w:uiPriority w:val="30"/>
    <w:rsid w:val="0016551E"/>
    <w:rPr>
      <w:bCs/>
      <w:i/>
      <w:iCs/>
      <w:color w:val="005EB8" w:themeColor="accent1"/>
      <w:sz w:val="20"/>
      <w:szCs w:val="20"/>
    </w:rPr>
  </w:style>
  <w:style w:type="paragraph" w:styleId="List">
    <w:name w:val="List"/>
    <w:basedOn w:val="Normal"/>
    <w:uiPriority w:val="99"/>
    <w:semiHidden/>
    <w:unhideWhenUsed/>
    <w:rsid w:val="0016551E"/>
    <w:pPr>
      <w:ind w:left="283" w:hanging="283"/>
      <w:contextualSpacing/>
    </w:pPr>
  </w:style>
  <w:style w:type="paragraph" w:styleId="List2">
    <w:name w:val="List 2"/>
    <w:basedOn w:val="Normal"/>
    <w:uiPriority w:val="99"/>
    <w:semiHidden/>
    <w:unhideWhenUsed/>
    <w:rsid w:val="0016551E"/>
    <w:pPr>
      <w:ind w:left="566" w:hanging="283"/>
      <w:contextualSpacing/>
    </w:pPr>
  </w:style>
  <w:style w:type="paragraph" w:styleId="List3">
    <w:name w:val="List 3"/>
    <w:basedOn w:val="Normal"/>
    <w:uiPriority w:val="99"/>
    <w:semiHidden/>
    <w:unhideWhenUsed/>
    <w:rsid w:val="0016551E"/>
    <w:pPr>
      <w:ind w:left="849" w:hanging="283"/>
      <w:contextualSpacing/>
    </w:pPr>
  </w:style>
  <w:style w:type="paragraph" w:styleId="List4">
    <w:name w:val="List 4"/>
    <w:basedOn w:val="Normal"/>
    <w:uiPriority w:val="99"/>
    <w:semiHidden/>
    <w:unhideWhenUsed/>
    <w:rsid w:val="0016551E"/>
    <w:pPr>
      <w:ind w:left="1132" w:hanging="283"/>
      <w:contextualSpacing/>
    </w:pPr>
  </w:style>
  <w:style w:type="paragraph" w:styleId="List5">
    <w:name w:val="List 5"/>
    <w:basedOn w:val="Normal"/>
    <w:uiPriority w:val="99"/>
    <w:semiHidden/>
    <w:unhideWhenUsed/>
    <w:rsid w:val="0016551E"/>
    <w:pPr>
      <w:ind w:left="1415" w:hanging="283"/>
      <w:contextualSpacing/>
    </w:pPr>
  </w:style>
  <w:style w:type="paragraph" w:styleId="ListBullet">
    <w:name w:val="List Bullet"/>
    <w:basedOn w:val="Normal"/>
    <w:uiPriority w:val="99"/>
    <w:semiHidden/>
    <w:unhideWhenUsed/>
    <w:rsid w:val="0016551E"/>
    <w:pPr>
      <w:numPr>
        <w:numId w:val="14"/>
      </w:numPr>
      <w:contextualSpacing/>
    </w:pPr>
  </w:style>
  <w:style w:type="paragraph" w:styleId="ListBullet2">
    <w:name w:val="List Bullet 2"/>
    <w:basedOn w:val="Normal"/>
    <w:uiPriority w:val="99"/>
    <w:semiHidden/>
    <w:unhideWhenUsed/>
    <w:rsid w:val="0016551E"/>
    <w:pPr>
      <w:numPr>
        <w:numId w:val="15"/>
      </w:numPr>
      <w:contextualSpacing/>
    </w:pPr>
  </w:style>
  <w:style w:type="paragraph" w:styleId="ListBullet3">
    <w:name w:val="List Bullet 3"/>
    <w:basedOn w:val="Normal"/>
    <w:uiPriority w:val="99"/>
    <w:semiHidden/>
    <w:unhideWhenUsed/>
    <w:rsid w:val="0016551E"/>
    <w:pPr>
      <w:numPr>
        <w:numId w:val="16"/>
      </w:numPr>
      <w:contextualSpacing/>
    </w:pPr>
  </w:style>
  <w:style w:type="paragraph" w:styleId="ListBullet4">
    <w:name w:val="List Bullet 4"/>
    <w:basedOn w:val="Normal"/>
    <w:uiPriority w:val="99"/>
    <w:semiHidden/>
    <w:unhideWhenUsed/>
    <w:rsid w:val="0016551E"/>
    <w:pPr>
      <w:numPr>
        <w:numId w:val="17"/>
      </w:numPr>
      <w:contextualSpacing/>
    </w:pPr>
  </w:style>
  <w:style w:type="paragraph" w:styleId="ListBullet5">
    <w:name w:val="List Bullet 5"/>
    <w:basedOn w:val="Normal"/>
    <w:uiPriority w:val="99"/>
    <w:semiHidden/>
    <w:unhideWhenUsed/>
    <w:rsid w:val="0016551E"/>
    <w:pPr>
      <w:numPr>
        <w:numId w:val="18"/>
      </w:numPr>
      <w:contextualSpacing/>
    </w:pPr>
  </w:style>
  <w:style w:type="paragraph" w:styleId="ListContinue">
    <w:name w:val="List Continue"/>
    <w:basedOn w:val="Normal"/>
    <w:uiPriority w:val="99"/>
    <w:semiHidden/>
    <w:unhideWhenUsed/>
    <w:rsid w:val="0016551E"/>
    <w:pPr>
      <w:spacing w:after="120"/>
      <w:ind w:left="283"/>
      <w:contextualSpacing/>
    </w:pPr>
  </w:style>
  <w:style w:type="paragraph" w:styleId="ListContinue2">
    <w:name w:val="List Continue 2"/>
    <w:basedOn w:val="Normal"/>
    <w:uiPriority w:val="99"/>
    <w:semiHidden/>
    <w:unhideWhenUsed/>
    <w:rsid w:val="0016551E"/>
    <w:pPr>
      <w:spacing w:after="120"/>
      <w:ind w:left="566"/>
      <w:contextualSpacing/>
    </w:pPr>
  </w:style>
  <w:style w:type="paragraph" w:styleId="ListContinue3">
    <w:name w:val="List Continue 3"/>
    <w:basedOn w:val="Normal"/>
    <w:uiPriority w:val="99"/>
    <w:semiHidden/>
    <w:unhideWhenUsed/>
    <w:rsid w:val="0016551E"/>
    <w:pPr>
      <w:spacing w:after="120"/>
      <w:ind w:left="849"/>
      <w:contextualSpacing/>
    </w:pPr>
  </w:style>
  <w:style w:type="paragraph" w:styleId="ListContinue4">
    <w:name w:val="List Continue 4"/>
    <w:basedOn w:val="Normal"/>
    <w:uiPriority w:val="99"/>
    <w:semiHidden/>
    <w:unhideWhenUsed/>
    <w:rsid w:val="0016551E"/>
    <w:pPr>
      <w:spacing w:after="120"/>
      <w:ind w:left="1132"/>
      <w:contextualSpacing/>
    </w:pPr>
  </w:style>
  <w:style w:type="paragraph" w:styleId="ListContinue5">
    <w:name w:val="List Continue 5"/>
    <w:basedOn w:val="Normal"/>
    <w:uiPriority w:val="99"/>
    <w:semiHidden/>
    <w:unhideWhenUsed/>
    <w:rsid w:val="0016551E"/>
    <w:pPr>
      <w:spacing w:after="120"/>
      <w:ind w:left="1415"/>
      <w:contextualSpacing/>
    </w:pPr>
  </w:style>
  <w:style w:type="paragraph" w:styleId="ListNumber">
    <w:name w:val="List Number"/>
    <w:basedOn w:val="Normal"/>
    <w:uiPriority w:val="99"/>
    <w:semiHidden/>
    <w:unhideWhenUsed/>
    <w:rsid w:val="0016551E"/>
    <w:pPr>
      <w:numPr>
        <w:numId w:val="19"/>
      </w:numPr>
      <w:contextualSpacing/>
    </w:pPr>
  </w:style>
  <w:style w:type="paragraph" w:styleId="ListNumber2">
    <w:name w:val="List Number 2"/>
    <w:basedOn w:val="Normal"/>
    <w:uiPriority w:val="99"/>
    <w:semiHidden/>
    <w:unhideWhenUsed/>
    <w:rsid w:val="0016551E"/>
    <w:pPr>
      <w:numPr>
        <w:numId w:val="20"/>
      </w:numPr>
      <w:contextualSpacing/>
    </w:pPr>
  </w:style>
  <w:style w:type="paragraph" w:styleId="ListNumber3">
    <w:name w:val="List Number 3"/>
    <w:basedOn w:val="Normal"/>
    <w:uiPriority w:val="99"/>
    <w:semiHidden/>
    <w:unhideWhenUsed/>
    <w:rsid w:val="0016551E"/>
    <w:pPr>
      <w:numPr>
        <w:numId w:val="21"/>
      </w:numPr>
      <w:contextualSpacing/>
    </w:pPr>
  </w:style>
  <w:style w:type="paragraph" w:styleId="ListNumber4">
    <w:name w:val="List Number 4"/>
    <w:basedOn w:val="Normal"/>
    <w:uiPriority w:val="99"/>
    <w:semiHidden/>
    <w:unhideWhenUsed/>
    <w:rsid w:val="0016551E"/>
    <w:pPr>
      <w:numPr>
        <w:numId w:val="22"/>
      </w:numPr>
      <w:contextualSpacing/>
    </w:pPr>
  </w:style>
  <w:style w:type="paragraph" w:styleId="ListNumber5">
    <w:name w:val="List Number 5"/>
    <w:basedOn w:val="Normal"/>
    <w:uiPriority w:val="99"/>
    <w:semiHidden/>
    <w:unhideWhenUsed/>
    <w:rsid w:val="0016551E"/>
    <w:pPr>
      <w:numPr>
        <w:numId w:val="23"/>
      </w:numPr>
      <w:contextualSpacing/>
    </w:pPr>
  </w:style>
  <w:style w:type="paragraph" w:styleId="MacroText">
    <w:name w:val="macro"/>
    <w:link w:val="MacroTextChar"/>
    <w:uiPriority w:val="99"/>
    <w:semiHidden/>
    <w:unhideWhenUsed/>
    <w:rsid w:val="0016551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bCs/>
      <w:sz w:val="20"/>
      <w:szCs w:val="20"/>
    </w:rPr>
  </w:style>
  <w:style w:type="character" w:customStyle="1" w:styleId="MacroTextChar">
    <w:name w:val="Macro Text Char"/>
    <w:basedOn w:val="DefaultParagraphFont"/>
    <w:link w:val="MacroText"/>
    <w:uiPriority w:val="99"/>
    <w:semiHidden/>
    <w:rsid w:val="0016551E"/>
    <w:rPr>
      <w:rFonts w:ascii="Consolas" w:hAnsi="Consolas"/>
      <w:bCs/>
      <w:sz w:val="20"/>
      <w:szCs w:val="20"/>
    </w:rPr>
  </w:style>
  <w:style w:type="paragraph" w:styleId="MessageHeader">
    <w:name w:val="Message Header"/>
    <w:basedOn w:val="Normal"/>
    <w:link w:val="MessageHeaderChar"/>
    <w:uiPriority w:val="99"/>
    <w:semiHidden/>
    <w:unhideWhenUsed/>
    <w:rsid w:val="0016551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6551E"/>
    <w:rPr>
      <w:rFonts w:asciiTheme="majorHAnsi" w:eastAsiaTheme="majorEastAsia" w:hAnsiTheme="majorHAnsi" w:cstheme="majorBidi"/>
      <w:bCs/>
      <w:sz w:val="24"/>
      <w:szCs w:val="24"/>
      <w:shd w:val="pct20" w:color="auto" w:fill="auto"/>
    </w:rPr>
  </w:style>
  <w:style w:type="paragraph" w:styleId="NormalIndent">
    <w:name w:val="Normal Indent"/>
    <w:basedOn w:val="Normal"/>
    <w:uiPriority w:val="99"/>
    <w:semiHidden/>
    <w:unhideWhenUsed/>
    <w:rsid w:val="0016551E"/>
    <w:pPr>
      <w:ind w:left="720"/>
    </w:pPr>
  </w:style>
  <w:style w:type="paragraph" w:styleId="NoteHeading">
    <w:name w:val="Note Heading"/>
    <w:basedOn w:val="Normal"/>
    <w:next w:val="Normal"/>
    <w:link w:val="NoteHeadingChar"/>
    <w:uiPriority w:val="99"/>
    <w:semiHidden/>
    <w:unhideWhenUsed/>
    <w:rsid w:val="0016551E"/>
    <w:pPr>
      <w:spacing w:after="0" w:line="240" w:lineRule="auto"/>
    </w:pPr>
  </w:style>
  <w:style w:type="character" w:customStyle="1" w:styleId="NoteHeadingChar">
    <w:name w:val="Note Heading Char"/>
    <w:basedOn w:val="DefaultParagraphFont"/>
    <w:link w:val="NoteHeading"/>
    <w:uiPriority w:val="99"/>
    <w:semiHidden/>
    <w:rsid w:val="0016551E"/>
    <w:rPr>
      <w:bCs/>
      <w:sz w:val="20"/>
      <w:szCs w:val="20"/>
    </w:rPr>
  </w:style>
  <w:style w:type="paragraph" w:styleId="PlainText">
    <w:name w:val="Plain Text"/>
    <w:basedOn w:val="Normal"/>
    <w:link w:val="PlainTextChar"/>
    <w:uiPriority w:val="99"/>
    <w:semiHidden/>
    <w:unhideWhenUsed/>
    <w:rsid w:val="0016551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6551E"/>
    <w:rPr>
      <w:rFonts w:ascii="Consolas" w:hAnsi="Consolas"/>
      <w:bCs/>
      <w:sz w:val="21"/>
      <w:szCs w:val="21"/>
    </w:rPr>
  </w:style>
  <w:style w:type="paragraph" w:styleId="Quote">
    <w:name w:val="Quote"/>
    <w:basedOn w:val="Normal"/>
    <w:next w:val="Normal"/>
    <w:link w:val="QuoteChar"/>
    <w:uiPriority w:val="29"/>
    <w:qFormat/>
    <w:rsid w:val="0016551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6551E"/>
    <w:rPr>
      <w:bCs/>
      <w:i/>
      <w:iCs/>
      <w:color w:val="404040" w:themeColor="text1" w:themeTint="BF"/>
      <w:sz w:val="20"/>
      <w:szCs w:val="20"/>
    </w:rPr>
  </w:style>
  <w:style w:type="paragraph" w:styleId="Salutation">
    <w:name w:val="Salutation"/>
    <w:basedOn w:val="Normal"/>
    <w:next w:val="Normal"/>
    <w:link w:val="SalutationChar"/>
    <w:uiPriority w:val="99"/>
    <w:semiHidden/>
    <w:unhideWhenUsed/>
    <w:rsid w:val="0016551E"/>
  </w:style>
  <w:style w:type="character" w:customStyle="1" w:styleId="SalutationChar">
    <w:name w:val="Salutation Char"/>
    <w:basedOn w:val="DefaultParagraphFont"/>
    <w:link w:val="Salutation"/>
    <w:uiPriority w:val="99"/>
    <w:semiHidden/>
    <w:rsid w:val="0016551E"/>
    <w:rPr>
      <w:bCs/>
      <w:sz w:val="20"/>
      <w:szCs w:val="20"/>
    </w:rPr>
  </w:style>
  <w:style w:type="paragraph" w:styleId="Signature">
    <w:name w:val="Signature"/>
    <w:basedOn w:val="Normal"/>
    <w:link w:val="SignatureChar"/>
    <w:uiPriority w:val="99"/>
    <w:semiHidden/>
    <w:unhideWhenUsed/>
    <w:rsid w:val="0016551E"/>
    <w:pPr>
      <w:spacing w:after="0" w:line="240" w:lineRule="auto"/>
      <w:ind w:left="4252"/>
    </w:pPr>
  </w:style>
  <w:style w:type="character" w:customStyle="1" w:styleId="SignatureChar">
    <w:name w:val="Signature Char"/>
    <w:basedOn w:val="DefaultParagraphFont"/>
    <w:link w:val="Signature"/>
    <w:uiPriority w:val="99"/>
    <w:semiHidden/>
    <w:rsid w:val="0016551E"/>
    <w:rPr>
      <w:bCs/>
      <w:sz w:val="20"/>
      <w:szCs w:val="20"/>
    </w:rPr>
  </w:style>
  <w:style w:type="paragraph" w:styleId="Subtitle">
    <w:name w:val="Subtitle"/>
    <w:basedOn w:val="Normal"/>
    <w:next w:val="Normal"/>
    <w:link w:val="SubtitleChar"/>
    <w:uiPriority w:val="11"/>
    <w:qFormat/>
    <w:rsid w:val="0016551E"/>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6551E"/>
    <w:rPr>
      <w:rFonts w:eastAsiaTheme="minorEastAsia"/>
      <w:bCs/>
      <w:color w:val="5A5A5A" w:themeColor="text1" w:themeTint="A5"/>
      <w:spacing w:val="15"/>
    </w:rPr>
  </w:style>
  <w:style w:type="paragraph" w:styleId="TableofAuthorities">
    <w:name w:val="table of authorities"/>
    <w:basedOn w:val="Normal"/>
    <w:next w:val="Normal"/>
    <w:uiPriority w:val="99"/>
    <w:semiHidden/>
    <w:unhideWhenUsed/>
    <w:rsid w:val="0016551E"/>
    <w:pPr>
      <w:spacing w:after="0"/>
      <w:ind w:left="200" w:hanging="200"/>
    </w:pPr>
  </w:style>
  <w:style w:type="paragraph" w:styleId="TableofFigures">
    <w:name w:val="table of figures"/>
    <w:basedOn w:val="Normal"/>
    <w:next w:val="Normal"/>
    <w:uiPriority w:val="99"/>
    <w:semiHidden/>
    <w:unhideWhenUsed/>
    <w:rsid w:val="0016551E"/>
    <w:pPr>
      <w:spacing w:after="0"/>
    </w:pPr>
  </w:style>
  <w:style w:type="paragraph" w:styleId="Title">
    <w:name w:val="Title"/>
    <w:basedOn w:val="Normal"/>
    <w:next w:val="Normal"/>
    <w:link w:val="TitleChar"/>
    <w:uiPriority w:val="10"/>
    <w:qFormat/>
    <w:rsid w:val="001655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51E"/>
    <w:rPr>
      <w:rFonts w:asciiTheme="majorHAnsi" w:eastAsiaTheme="majorEastAsia" w:hAnsiTheme="majorHAnsi" w:cstheme="majorBidi"/>
      <w:bCs/>
      <w:spacing w:val="-10"/>
      <w:kern w:val="28"/>
      <w:sz w:val="56"/>
      <w:szCs w:val="56"/>
    </w:rPr>
  </w:style>
  <w:style w:type="paragraph" w:styleId="TOAHeading">
    <w:name w:val="toa heading"/>
    <w:basedOn w:val="Normal"/>
    <w:next w:val="Normal"/>
    <w:uiPriority w:val="99"/>
    <w:semiHidden/>
    <w:unhideWhenUsed/>
    <w:rsid w:val="0016551E"/>
    <w:pPr>
      <w:spacing w:before="120"/>
    </w:pPr>
    <w:rPr>
      <w:rFonts w:asciiTheme="majorHAnsi" w:eastAsiaTheme="majorEastAsia" w:hAnsiTheme="majorHAnsi" w:cstheme="majorBidi"/>
      <w:b/>
      <w:sz w:val="24"/>
      <w:szCs w:val="24"/>
    </w:rPr>
  </w:style>
  <w:style w:type="paragraph" w:styleId="TOC4">
    <w:name w:val="toc 4"/>
    <w:basedOn w:val="Normal"/>
    <w:next w:val="Normal"/>
    <w:autoRedefine/>
    <w:uiPriority w:val="39"/>
    <w:semiHidden/>
    <w:unhideWhenUsed/>
    <w:rsid w:val="0016551E"/>
    <w:pPr>
      <w:spacing w:after="100"/>
      <w:ind w:left="600"/>
    </w:pPr>
  </w:style>
  <w:style w:type="paragraph" w:styleId="TOC5">
    <w:name w:val="toc 5"/>
    <w:basedOn w:val="Normal"/>
    <w:next w:val="Normal"/>
    <w:autoRedefine/>
    <w:uiPriority w:val="39"/>
    <w:semiHidden/>
    <w:unhideWhenUsed/>
    <w:rsid w:val="0016551E"/>
    <w:pPr>
      <w:spacing w:after="100"/>
      <w:ind w:left="800"/>
    </w:pPr>
  </w:style>
  <w:style w:type="paragraph" w:styleId="TOC6">
    <w:name w:val="toc 6"/>
    <w:basedOn w:val="Normal"/>
    <w:next w:val="Normal"/>
    <w:autoRedefine/>
    <w:uiPriority w:val="39"/>
    <w:semiHidden/>
    <w:unhideWhenUsed/>
    <w:rsid w:val="0016551E"/>
    <w:pPr>
      <w:spacing w:after="100"/>
      <w:ind w:left="1000"/>
    </w:pPr>
  </w:style>
  <w:style w:type="paragraph" w:styleId="TOC7">
    <w:name w:val="toc 7"/>
    <w:basedOn w:val="Normal"/>
    <w:next w:val="Normal"/>
    <w:autoRedefine/>
    <w:uiPriority w:val="39"/>
    <w:semiHidden/>
    <w:unhideWhenUsed/>
    <w:rsid w:val="0016551E"/>
    <w:pPr>
      <w:spacing w:after="100"/>
      <w:ind w:left="1200"/>
    </w:pPr>
  </w:style>
  <w:style w:type="paragraph" w:styleId="TOC8">
    <w:name w:val="toc 8"/>
    <w:basedOn w:val="Normal"/>
    <w:next w:val="Normal"/>
    <w:autoRedefine/>
    <w:uiPriority w:val="39"/>
    <w:semiHidden/>
    <w:unhideWhenUsed/>
    <w:rsid w:val="0016551E"/>
    <w:pPr>
      <w:spacing w:after="100"/>
      <w:ind w:left="1400"/>
    </w:pPr>
  </w:style>
  <w:style w:type="paragraph" w:styleId="TOC9">
    <w:name w:val="toc 9"/>
    <w:basedOn w:val="Normal"/>
    <w:next w:val="Normal"/>
    <w:autoRedefine/>
    <w:uiPriority w:val="39"/>
    <w:semiHidden/>
    <w:unhideWhenUsed/>
    <w:rsid w:val="0016551E"/>
    <w:pPr>
      <w:spacing w:after="100"/>
      <w:ind w:left="1600"/>
    </w:pPr>
  </w:style>
  <w:style w:type="character" w:styleId="PlaceholderText">
    <w:name w:val="Placeholder Text"/>
    <w:basedOn w:val="DefaultParagraphFont"/>
    <w:uiPriority w:val="99"/>
    <w:semiHidden/>
    <w:rsid w:val="002775A2"/>
    <w:rPr>
      <w:color w:val="808080"/>
    </w:rPr>
  </w:style>
  <w:style w:type="character" w:styleId="Strong">
    <w:name w:val="Strong"/>
    <w:basedOn w:val="DefaultParagraphFont"/>
    <w:uiPriority w:val="22"/>
    <w:qFormat/>
    <w:rsid w:val="00CB6966"/>
    <w:rPr>
      <w:b w:val="0"/>
      <w:bCs/>
      <w:color w:val="005EB8" w:themeColor="text2"/>
    </w:rPr>
  </w:style>
  <w:style w:type="table" w:styleId="GridTable2-Accent1">
    <w:name w:val="Grid Table 2 Accent 1"/>
    <w:basedOn w:val="TableNormal"/>
    <w:uiPriority w:val="47"/>
    <w:rsid w:val="00693E03"/>
    <w:pPr>
      <w:spacing w:after="0" w:line="240" w:lineRule="auto"/>
    </w:pPr>
    <w:tblPr>
      <w:tblStyleRowBandSize w:val="1"/>
      <w:tblStyleColBandSize w:val="1"/>
      <w:tblBorders>
        <w:top w:val="single" w:sz="2" w:space="0" w:color="3B9FFF" w:themeColor="accent1" w:themeTint="99"/>
        <w:bottom w:val="single" w:sz="2" w:space="0" w:color="3B9FFF" w:themeColor="accent1" w:themeTint="99"/>
        <w:insideH w:val="single" w:sz="2" w:space="0" w:color="3B9FFF" w:themeColor="accent1" w:themeTint="99"/>
        <w:insideV w:val="single" w:sz="2" w:space="0" w:color="3B9FFF" w:themeColor="accent1" w:themeTint="99"/>
      </w:tblBorders>
    </w:tblPr>
    <w:tblStylePr w:type="firstRow">
      <w:rPr>
        <w:b/>
        <w:bCs/>
      </w:rPr>
      <w:tblPr/>
      <w:tcPr>
        <w:tcBorders>
          <w:top w:val="nil"/>
          <w:bottom w:val="single" w:sz="12" w:space="0" w:color="3B9FFF" w:themeColor="accent1" w:themeTint="99"/>
          <w:insideH w:val="nil"/>
          <w:insideV w:val="nil"/>
        </w:tcBorders>
        <w:shd w:val="clear" w:color="auto" w:fill="FFFFFF" w:themeFill="background1"/>
      </w:tcPr>
    </w:tblStylePr>
    <w:tblStylePr w:type="lastRow">
      <w:rPr>
        <w:b/>
        <w:bCs/>
      </w:rPr>
      <w:tblPr/>
      <w:tcPr>
        <w:tcBorders>
          <w:top w:val="double" w:sz="2" w:space="0" w:color="3B9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 w:type="table" w:styleId="GridTable4-Accent5">
    <w:name w:val="Grid Table 4 Accent 5"/>
    <w:basedOn w:val="TableNormal"/>
    <w:uiPriority w:val="49"/>
    <w:rsid w:val="00693E03"/>
    <w:pPr>
      <w:spacing w:after="0" w:line="240" w:lineRule="auto"/>
    </w:pPr>
    <w:tblPr>
      <w:tblStyleRowBandSize w:val="1"/>
      <w:tblStyleColBandSize w:val="1"/>
      <w:tblBorders>
        <w:top w:val="single" w:sz="4" w:space="0" w:color="45CAFF" w:themeColor="accent5" w:themeTint="99"/>
        <w:left w:val="single" w:sz="4" w:space="0" w:color="45CAFF" w:themeColor="accent5" w:themeTint="99"/>
        <w:bottom w:val="single" w:sz="4" w:space="0" w:color="45CAFF" w:themeColor="accent5" w:themeTint="99"/>
        <w:right w:val="single" w:sz="4" w:space="0" w:color="45CAFF" w:themeColor="accent5" w:themeTint="99"/>
        <w:insideH w:val="single" w:sz="4" w:space="0" w:color="45CAFF" w:themeColor="accent5" w:themeTint="99"/>
        <w:insideV w:val="single" w:sz="4" w:space="0" w:color="45CAFF" w:themeColor="accent5" w:themeTint="99"/>
      </w:tblBorders>
    </w:tblPr>
    <w:tblStylePr w:type="firstRow">
      <w:rPr>
        <w:b/>
        <w:bCs/>
        <w:color w:val="FFFFFF" w:themeColor="background1"/>
      </w:rPr>
      <w:tblPr/>
      <w:tcPr>
        <w:tcBorders>
          <w:top w:val="single" w:sz="4" w:space="0" w:color="0091C9" w:themeColor="accent5"/>
          <w:left w:val="single" w:sz="4" w:space="0" w:color="0091C9" w:themeColor="accent5"/>
          <w:bottom w:val="single" w:sz="4" w:space="0" w:color="0091C9" w:themeColor="accent5"/>
          <w:right w:val="single" w:sz="4" w:space="0" w:color="0091C9" w:themeColor="accent5"/>
          <w:insideH w:val="nil"/>
          <w:insideV w:val="nil"/>
        </w:tcBorders>
        <w:shd w:val="clear" w:color="auto" w:fill="0091C9" w:themeFill="accent5"/>
      </w:tcPr>
    </w:tblStylePr>
    <w:tblStylePr w:type="lastRow">
      <w:rPr>
        <w:b/>
        <w:bCs/>
      </w:rPr>
      <w:tblPr/>
      <w:tcPr>
        <w:tcBorders>
          <w:top w:val="double" w:sz="4" w:space="0" w:color="0091C9" w:themeColor="accent5"/>
        </w:tcBorders>
      </w:tcPr>
    </w:tblStylePr>
    <w:tblStylePr w:type="firstCol">
      <w:rPr>
        <w:b/>
        <w:bCs/>
      </w:rPr>
    </w:tblStylePr>
    <w:tblStylePr w:type="lastCol">
      <w:rPr>
        <w:b/>
        <w:bCs/>
      </w:rPr>
    </w:tblStylePr>
    <w:tblStylePr w:type="band1Vert">
      <w:tblPr/>
      <w:tcPr>
        <w:shd w:val="clear" w:color="auto" w:fill="C1EDFF" w:themeFill="accent5" w:themeFillTint="33"/>
      </w:tcPr>
    </w:tblStylePr>
    <w:tblStylePr w:type="band1Horz">
      <w:tblPr/>
      <w:tcPr>
        <w:shd w:val="clear" w:color="auto" w:fill="C1EDFF" w:themeFill="accent5" w:themeFillTint="33"/>
      </w:tcPr>
    </w:tblStylePr>
  </w:style>
  <w:style w:type="table" w:styleId="GridTable4-Accent1">
    <w:name w:val="Grid Table 4 Accent 1"/>
    <w:basedOn w:val="TableNormal"/>
    <w:uiPriority w:val="49"/>
    <w:rsid w:val="00693E03"/>
    <w:pPr>
      <w:spacing w:after="0" w:line="240" w:lineRule="auto"/>
    </w:pPr>
    <w:tblPr>
      <w:tblStyleRowBandSize w:val="1"/>
      <w:tblStyleColBandSize w:val="1"/>
      <w:tblBorders>
        <w:top w:val="single" w:sz="4" w:space="0" w:color="3B9FFF" w:themeColor="accent1" w:themeTint="99"/>
        <w:left w:val="single" w:sz="4" w:space="0" w:color="3B9FFF" w:themeColor="accent1" w:themeTint="99"/>
        <w:bottom w:val="single" w:sz="4" w:space="0" w:color="3B9FFF" w:themeColor="accent1" w:themeTint="99"/>
        <w:right w:val="single" w:sz="4" w:space="0" w:color="3B9FFF" w:themeColor="accent1" w:themeTint="99"/>
        <w:insideH w:val="single" w:sz="4" w:space="0" w:color="3B9FFF" w:themeColor="accent1" w:themeTint="99"/>
        <w:insideV w:val="single" w:sz="4" w:space="0" w:color="3B9FFF" w:themeColor="accent1" w:themeTint="99"/>
      </w:tblBorders>
    </w:tblPr>
    <w:tblStylePr w:type="firstRow">
      <w:rPr>
        <w:b/>
        <w:bCs/>
        <w:color w:val="FFFFFF" w:themeColor="background1"/>
      </w:rPr>
      <w:tblPr/>
      <w:tcPr>
        <w:tcBorders>
          <w:top w:val="single" w:sz="4" w:space="0" w:color="005EB8" w:themeColor="accent1"/>
          <w:left w:val="single" w:sz="4" w:space="0" w:color="005EB8" w:themeColor="accent1"/>
          <w:bottom w:val="single" w:sz="4" w:space="0" w:color="005EB8" w:themeColor="accent1"/>
          <w:right w:val="single" w:sz="4" w:space="0" w:color="005EB8" w:themeColor="accent1"/>
          <w:insideH w:val="nil"/>
          <w:insideV w:val="nil"/>
        </w:tcBorders>
        <w:shd w:val="clear" w:color="auto" w:fill="005EB8" w:themeFill="accent1"/>
      </w:tcPr>
    </w:tblStylePr>
    <w:tblStylePr w:type="lastRow">
      <w:rPr>
        <w:b/>
        <w:bCs/>
      </w:rPr>
      <w:tblPr/>
      <w:tcPr>
        <w:tcBorders>
          <w:top w:val="double" w:sz="4" w:space="0" w:color="005EB8" w:themeColor="accent1"/>
        </w:tcBorders>
      </w:tcPr>
    </w:tblStylePr>
    <w:tblStylePr w:type="firstCol">
      <w:rPr>
        <w:b/>
        <w:bCs/>
      </w:r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4741">
      <w:bodyDiv w:val="1"/>
      <w:marLeft w:val="0"/>
      <w:marRight w:val="0"/>
      <w:marTop w:val="0"/>
      <w:marBottom w:val="0"/>
      <w:divBdr>
        <w:top w:val="none" w:sz="0" w:space="0" w:color="auto"/>
        <w:left w:val="none" w:sz="0" w:space="0" w:color="auto"/>
        <w:bottom w:val="none" w:sz="0" w:space="0" w:color="auto"/>
        <w:right w:val="none" w:sz="0" w:space="0" w:color="auto"/>
      </w:divBdr>
    </w:div>
    <w:div w:id="120078753">
      <w:bodyDiv w:val="1"/>
      <w:marLeft w:val="0"/>
      <w:marRight w:val="0"/>
      <w:marTop w:val="0"/>
      <w:marBottom w:val="0"/>
      <w:divBdr>
        <w:top w:val="none" w:sz="0" w:space="0" w:color="auto"/>
        <w:left w:val="none" w:sz="0" w:space="0" w:color="auto"/>
        <w:bottom w:val="none" w:sz="0" w:space="0" w:color="auto"/>
        <w:right w:val="none" w:sz="0" w:space="0" w:color="auto"/>
      </w:divBdr>
    </w:div>
    <w:div w:id="130633772">
      <w:bodyDiv w:val="1"/>
      <w:marLeft w:val="0"/>
      <w:marRight w:val="0"/>
      <w:marTop w:val="0"/>
      <w:marBottom w:val="0"/>
      <w:divBdr>
        <w:top w:val="none" w:sz="0" w:space="0" w:color="auto"/>
        <w:left w:val="none" w:sz="0" w:space="0" w:color="auto"/>
        <w:bottom w:val="none" w:sz="0" w:space="0" w:color="auto"/>
        <w:right w:val="none" w:sz="0" w:space="0" w:color="auto"/>
      </w:divBdr>
    </w:div>
    <w:div w:id="197401233">
      <w:bodyDiv w:val="1"/>
      <w:marLeft w:val="0"/>
      <w:marRight w:val="0"/>
      <w:marTop w:val="0"/>
      <w:marBottom w:val="0"/>
      <w:divBdr>
        <w:top w:val="none" w:sz="0" w:space="0" w:color="auto"/>
        <w:left w:val="none" w:sz="0" w:space="0" w:color="auto"/>
        <w:bottom w:val="none" w:sz="0" w:space="0" w:color="auto"/>
        <w:right w:val="none" w:sz="0" w:space="0" w:color="auto"/>
      </w:divBdr>
    </w:div>
    <w:div w:id="311759950">
      <w:bodyDiv w:val="1"/>
      <w:marLeft w:val="0"/>
      <w:marRight w:val="0"/>
      <w:marTop w:val="0"/>
      <w:marBottom w:val="0"/>
      <w:divBdr>
        <w:top w:val="none" w:sz="0" w:space="0" w:color="auto"/>
        <w:left w:val="none" w:sz="0" w:space="0" w:color="auto"/>
        <w:bottom w:val="none" w:sz="0" w:space="0" w:color="auto"/>
        <w:right w:val="none" w:sz="0" w:space="0" w:color="auto"/>
      </w:divBdr>
    </w:div>
    <w:div w:id="317659247">
      <w:bodyDiv w:val="1"/>
      <w:marLeft w:val="0"/>
      <w:marRight w:val="0"/>
      <w:marTop w:val="0"/>
      <w:marBottom w:val="0"/>
      <w:divBdr>
        <w:top w:val="none" w:sz="0" w:space="0" w:color="auto"/>
        <w:left w:val="none" w:sz="0" w:space="0" w:color="auto"/>
        <w:bottom w:val="none" w:sz="0" w:space="0" w:color="auto"/>
        <w:right w:val="none" w:sz="0" w:space="0" w:color="auto"/>
      </w:divBdr>
    </w:div>
    <w:div w:id="340552247">
      <w:bodyDiv w:val="1"/>
      <w:marLeft w:val="0"/>
      <w:marRight w:val="0"/>
      <w:marTop w:val="0"/>
      <w:marBottom w:val="0"/>
      <w:divBdr>
        <w:top w:val="none" w:sz="0" w:space="0" w:color="auto"/>
        <w:left w:val="none" w:sz="0" w:space="0" w:color="auto"/>
        <w:bottom w:val="none" w:sz="0" w:space="0" w:color="auto"/>
        <w:right w:val="none" w:sz="0" w:space="0" w:color="auto"/>
      </w:divBdr>
    </w:div>
    <w:div w:id="459374530">
      <w:bodyDiv w:val="1"/>
      <w:marLeft w:val="0"/>
      <w:marRight w:val="0"/>
      <w:marTop w:val="0"/>
      <w:marBottom w:val="0"/>
      <w:divBdr>
        <w:top w:val="none" w:sz="0" w:space="0" w:color="auto"/>
        <w:left w:val="none" w:sz="0" w:space="0" w:color="auto"/>
        <w:bottom w:val="none" w:sz="0" w:space="0" w:color="auto"/>
        <w:right w:val="none" w:sz="0" w:space="0" w:color="auto"/>
      </w:divBdr>
    </w:div>
    <w:div w:id="461847139">
      <w:bodyDiv w:val="1"/>
      <w:marLeft w:val="0"/>
      <w:marRight w:val="0"/>
      <w:marTop w:val="0"/>
      <w:marBottom w:val="0"/>
      <w:divBdr>
        <w:top w:val="none" w:sz="0" w:space="0" w:color="auto"/>
        <w:left w:val="none" w:sz="0" w:space="0" w:color="auto"/>
        <w:bottom w:val="none" w:sz="0" w:space="0" w:color="auto"/>
        <w:right w:val="none" w:sz="0" w:space="0" w:color="auto"/>
      </w:divBdr>
    </w:div>
    <w:div w:id="473256649">
      <w:bodyDiv w:val="1"/>
      <w:marLeft w:val="0"/>
      <w:marRight w:val="0"/>
      <w:marTop w:val="0"/>
      <w:marBottom w:val="0"/>
      <w:divBdr>
        <w:top w:val="none" w:sz="0" w:space="0" w:color="auto"/>
        <w:left w:val="none" w:sz="0" w:space="0" w:color="auto"/>
        <w:bottom w:val="none" w:sz="0" w:space="0" w:color="auto"/>
        <w:right w:val="none" w:sz="0" w:space="0" w:color="auto"/>
      </w:divBdr>
    </w:div>
    <w:div w:id="534345641">
      <w:bodyDiv w:val="1"/>
      <w:marLeft w:val="0"/>
      <w:marRight w:val="0"/>
      <w:marTop w:val="0"/>
      <w:marBottom w:val="0"/>
      <w:divBdr>
        <w:top w:val="none" w:sz="0" w:space="0" w:color="auto"/>
        <w:left w:val="none" w:sz="0" w:space="0" w:color="auto"/>
        <w:bottom w:val="none" w:sz="0" w:space="0" w:color="auto"/>
        <w:right w:val="none" w:sz="0" w:space="0" w:color="auto"/>
      </w:divBdr>
    </w:div>
    <w:div w:id="543559232">
      <w:bodyDiv w:val="1"/>
      <w:marLeft w:val="0"/>
      <w:marRight w:val="0"/>
      <w:marTop w:val="0"/>
      <w:marBottom w:val="0"/>
      <w:divBdr>
        <w:top w:val="none" w:sz="0" w:space="0" w:color="auto"/>
        <w:left w:val="none" w:sz="0" w:space="0" w:color="auto"/>
        <w:bottom w:val="none" w:sz="0" w:space="0" w:color="auto"/>
        <w:right w:val="none" w:sz="0" w:space="0" w:color="auto"/>
      </w:divBdr>
    </w:div>
    <w:div w:id="544490047">
      <w:bodyDiv w:val="1"/>
      <w:marLeft w:val="0"/>
      <w:marRight w:val="0"/>
      <w:marTop w:val="0"/>
      <w:marBottom w:val="0"/>
      <w:divBdr>
        <w:top w:val="none" w:sz="0" w:space="0" w:color="auto"/>
        <w:left w:val="none" w:sz="0" w:space="0" w:color="auto"/>
        <w:bottom w:val="none" w:sz="0" w:space="0" w:color="auto"/>
        <w:right w:val="none" w:sz="0" w:space="0" w:color="auto"/>
      </w:divBdr>
    </w:div>
    <w:div w:id="581061480">
      <w:bodyDiv w:val="1"/>
      <w:marLeft w:val="0"/>
      <w:marRight w:val="0"/>
      <w:marTop w:val="0"/>
      <w:marBottom w:val="0"/>
      <w:divBdr>
        <w:top w:val="none" w:sz="0" w:space="0" w:color="auto"/>
        <w:left w:val="none" w:sz="0" w:space="0" w:color="auto"/>
        <w:bottom w:val="none" w:sz="0" w:space="0" w:color="auto"/>
        <w:right w:val="none" w:sz="0" w:space="0" w:color="auto"/>
      </w:divBdr>
    </w:div>
    <w:div w:id="609747903">
      <w:bodyDiv w:val="1"/>
      <w:marLeft w:val="0"/>
      <w:marRight w:val="0"/>
      <w:marTop w:val="0"/>
      <w:marBottom w:val="0"/>
      <w:divBdr>
        <w:top w:val="none" w:sz="0" w:space="0" w:color="auto"/>
        <w:left w:val="none" w:sz="0" w:space="0" w:color="auto"/>
        <w:bottom w:val="none" w:sz="0" w:space="0" w:color="auto"/>
        <w:right w:val="none" w:sz="0" w:space="0" w:color="auto"/>
      </w:divBdr>
    </w:div>
    <w:div w:id="678846747">
      <w:bodyDiv w:val="1"/>
      <w:marLeft w:val="0"/>
      <w:marRight w:val="0"/>
      <w:marTop w:val="0"/>
      <w:marBottom w:val="0"/>
      <w:divBdr>
        <w:top w:val="none" w:sz="0" w:space="0" w:color="auto"/>
        <w:left w:val="none" w:sz="0" w:space="0" w:color="auto"/>
        <w:bottom w:val="none" w:sz="0" w:space="0" w:color="auto"/>
        <w:right w:val="none" w:sz="0" w:space="0" w:color="auto"/>
      </w:divBdr>
    </w:div>
    <w:div w:id="696469695">
      <w:bodyDiv w:val="1"/>
      <w:marLeft w:val="0"/>
      <w:marRight w:val="0"/>
      <w:marTop w:val="0"/>
      <w:marBottom w:val="0"/>
      <w:divBdr>
        <w:top w:val="none" w:sz="0" w:space="0" w:color="auto"/>
        <w:left w:val="none" w:sz="0" w:space="0" w:color="auto"/>
        <w:bottom w:val="none" w:sz="0" w:space="0" w:color="auto"/>
        <w:right w:val="none" w:sz="0" w:space="0" w:color="auto"/>
      </w:divBdr>
    </w:div>
    <w:div w:id="757481866">
      <w:bodyDiv w:val="1"/>
      <w:marLeft w:val="0"/>
      <w:marRight w:val="0"/>
      <w:marTop w:val="0"/>
      <w:marBottom w:val="0"/>
      <w:divBdr>
        <w:top w:val="none" w:sz="0" w:space="0" w:color="auto"/>
        <w:left w:val="none" w:sz="0" w:space="0" w:color="auto"/>
        <w:bottom w:val="none" w:sz="0" w:space="0" w:color="auto"/>
        <w:right w:val="none" w:sz="0" w:space="0" w:color="auto"/>
      </w:divBdr>
    </w:div>
    <w:div w:id="899100800">
      <w:bodyDiv w:val="1"/>
      <w:marLeft w:val="0"/>
      <w:marRight w:val="0"/>
      <w:marTop w:val="0"/>
      <w:marBottom w:val="0"/>
      <w:divBdr>
        <w:top w:val="none" w:sz="0" w:space="0" w:color="auto"/>
        <w:left w:val="none" w:sz="0" w:space="0" w:color="auto"/>
        <w:bottom w:val="none" w:sz="0" w:space="0" w:color="auto"/>
        <w:right w:val="none" w:sz="0" w:space="0" w:color="auto"/>
      </w:divBdr>
    </w:div>
    <w:div w:id="994993874">
      <w:bodyDiv w:val="1"/>
      <w:marLeft w:val="0"/>
      <w:marRight w:val="0"/>
      <w:marTop w:val="0"/>
      <w:marBottom w:val="0"/>
      <w:divBdr>
        <w:top w:val="none" w:sz="0" w:space="0" w:color="auto"/>
        <w:left w:val="none" w:sz="0" w:space="0" w:color="auto"/>
        <w:bottom w:val="none" w:sz="0" w:space="0" w:color="auto"/>
        <w:right w:val="none" w:sz="0" w:space="0" w:color="auto"/>
      </w:divBdr>
    </w:div>
    <w:div w:id="1167407148">
      <w:bodyDiv w:val="1"/>
      <w:marLeft w:val="0"/>
      <w:marRight w:val="0"/>
      <w:marTop w:val="0"/>
      <w:marBottom w:val="0"/>
      <w:divBdr>
        <w:top w:val="none" w:sz="0" w:space="0" w:color="auto"/>
        <w:left w:val="none" w:sz="0" w:space="0" w:color="auto"/>
        <w:bottom w:val="none" w:sz="0" w:space="0" w:color="auto"/>
        <w:right w:val="none" w:sz="0" w:space="0" w:color="auto"/>
      </w:divBdr>
    </w:div>
    <w:div w:id="1233655823">
      <w:bodyDiv w:val="1"/>
      <w:marLeft w:val="0"/>
      <w:marRight w:val="0"/>
      <w:marTop w:val="0"/>
      <w:marBottom w:val="0"/>
      <w:divBdr>
        <w:top w:val="none" w:sz="0" w:space="0" w:color="auto"/>
        <w:left w:val="none" w:sz="0" w:space="0" w:color="auto"/>
        <w:bottom w:val="none" w:sz="0" w:space="0" w:color="auto"/>
        <w:right w:val="none" w:sz="0" w:space="0" w:color="auto"/>
      </w:divBdr>
    </w:div>
    <w:div w:id="1279949201">
      <w:bodyDiv w:val="1"/>
      <w:marLeft w:val="0"/>
      <w:marRight w:val="0"/>
      <w:marTop w:val="0"/>
      <w:marBottom w:val="0"/>
      <w:divBdr>
        <w:top w:val="none" w:sz="0" w:space="0" w:color="auto"/>
        <w:left w:val="none" w:sz="0" w:space="0" w:color="auto"/>
        <w:bottom w:val="none" w:sz="0" w:space="0" w:color="auto"/>
        <w:right w:val="none" w:sz="0" w:space="0" w:color="auto"/>
      </w:divBdr>
    </w:div>
    <w:div w:id="1307779312">
      <w:bodyDiv w:val="1"/>
      <w:marLeft w:val="0"/>
      <w:marRight w:val="0"/>
      <w:marTop w:val="0"/>
      <w:marBottom w:val="0"/>
      <w:divBdr>
        <w:top w:val="none" w:sz="0" w:space="0" w:color="auto"/>
        <w:left w:val="none" w:sz="0" w:space="0" w:color="auto"/>
        <w:bottom w:val="none" w:sz="0" w:space="0" w:color="auto"/>
        <w:right w:val="none" w:sz="0" w:space="0" w:color="auto"/>
      </w:divBdr>
    </w:div>
    <w:div w:id="1384981969">
      <w:bodyDiv w:val="1"/>
      <w:marLeft w:val="0"/>
      <w:marRight w:val="0"/>
      <w:marTop w:val="0"/>
      <w:marBottom w:val="0"/>
      <w:divBdr>
        <w:top w:val="none" w:sz="0" w:space="0" w:color="auto"/>
        <w:left w:val="none" w:sz="0" w:space="0" w:color="auto"/>
        <w:bottom w:val="none" w:sz="0" w:space="0" w:color="auto"/>
        <w:right w:val="none" w:sz="0" w:space="0" w:color="auto"/>
      </w:divBdr>
      <w:divsChild>
        <w:div w:id="1237326598">
          <w:marLeft w:val="0"/>
          <w:marRight w:val="0"/>
          <w:marTop w:val="0"/>
          <w:marBottom w:val="0"/>
          <w:divBdr>
            <w:top w:val="none" w:sz="0" w:space="0" w:color="auto"/>
            <w:left w:val="none" w:sz="0" w:space="0" w:color="auto"/>
            <w:bottom w:val="none" w:sz="0" w:space="0" w:color="auto"/>
            <w:right w:val="none" w:sz="0" w:space="0" w:color="auto"/>
          </w:divBdr>
          <w:divsChild>
            <w:div w:id="754060701">
              <w:marLeft w:val="0"/>
              <w:marRight w:val="0"/>
              <w:marTop w:val="0"/>
              <w:marBottom w:val="0"/>
              <w:divBdr>
                <w:top w:val="none" w:sz="0" w:space="0" w:color="auto"/>
                <w:left w:val="none" w:sz="0" w:space="0" w:color="auto"/>
                <w:bottom w:val="none" w:sz="0" w:space="0" w:color="auto"/>
                <w:right w:val="none" w:sz="0" w:space="0" w:color="auto"/>
              </w:divBdr>
              <w:divsChild>
                <w:div w:id="1105492718">
                  <w:marLeft w:val="0"/>
                  <w:marRight w:val="0"/>
                  <w:marTop w:val="0"/>
                  <w:marBottom w:val="0"/>
                  <w:divBdr>
                    <w:top w:val="none" w:sz="0" w:space="0" w:color="auto"/>
                    <w:left w:val="none" w:sz="0" w:space="0" w:color="auto"/>
                    <w:bottom w:val="none" w:sz="0" w:space="0" w:color="auto"/>
                    <w:right w:val="none" w:sz="0" w:space="0" w:color="auto"/>
                  </w:divBdr>
                  <w:divsChild>
                    <w:div w:id="626860803">
                      <w:marLeft w:val="0"/>
                      <w:marRight w:val="0"/>
                      <w:marTop w:val="0"/>
                      <w:marBottom w:val="0"/>
                      <w:divBdr>
                        <w:top w:val="none" w:sz="0" w:space="0" w:color="auto"/>
                        <w:left w:val="none" w:sz="0" w:space="0" w:color="auto"/>
                        <w:bottom w:val="none" w:sz="0" w:space="0" w:color="auto"/>
                        <w:right w:val="none" w:sz="0" w:space="0" w:color="auto"/>
                      </w:divBdr>
                      <w:divsChild>
                        <w:div w:id="1442535084">
                          <w:marLeft w:val="0"/>
                          <w:marRight w:val="0"/>
                          <w:marTop w:val="0"/>
                          <w:marBottom w:val="0"/>
                          <w:divBdr>
                            <w:top w:val="none" w:sz="0" w:space="0" w:color="auto"/>
                            <w:left w:val="none" w:sz="0" w:space="0" w:color="auto"/>
                            <w:bottom w:val="none" w:sz="0" w:space="0" w:color="auto"/>
                            <w:right w:val="none" w:sz="0" w:space="0" w:color="auto"/>
                          </w:divBdr>
                          <w:divsChild>
                            <w:div w:id="1218589859">
                              <w:marLeft w:val="0"/>
                              <w:marRight w:val="0"/>
                              <w:marTop w:val="0"/>
                              <w:marBottom w:val="0"/>
                              <w:divBdr>
                                <w:top w:val="none" w:sz="0" w:space="0" w:color="auto"/>
                                <w:left w:val="none" w:sz="0" w:space="0" w:color="auto"/>
                                <w:bottom w:val="none" w:sz="0" w:space="0" w:color="auto"/>
                                <w:right w:val="none" w:sz="0" w:space="0" w:color="auto"/>
                              </w:divBdr>
                              <w:divsChild>
                                <w:div w:id="1072890819">
                                  <w:marLeft w:val="0"/>
                                  <w:marRight w:val="0"/>
                                  <w:marTop w:val="0"/>
                                  <w:marBottom w:val="0"/>
                                  <w:divBdr>
                                    <w:top w:val="none" w:sz="0" w:space="0" w:color="auto"/>
                                    <w:left w:val="none" w:sz="0" w:space="0" w:color="auto"/>
                                    <w:bottom w:val="none" w:sz="0" w:space="0" w:color="auto"/>
                                    <w:right w:val="none" w:sz="0" w:space="0" w:color="auto"/>
                                  </w:divBdr>
                                  <w:divsChild>
                                    <w:div w:id="1315380668">
                                      <w:marLeft w:val="0"/>
                                      <w:marRight w:val="0"/>
                                      <w:marTop w:val="0"/>
                                      <w:marBottom w:val="0"/>
                                      <w:divBdr>
                                        <w:top w:val="none" w:sz="0" w:space="0" w:color="auto"/>
                                        <w:left w:val="none" w:sz="0" w:space="0" w:color="auto"/>
                                        <w:bottom w:val="none" w:sz="0" w:space="0" w:color="auto"/>
                                        <w:right w:val="none" w:sz="0" w:space="0" w:color="auto"/>
                                      </w:divBdr>
                                      <w:divsChild>
                                        <w:div w:id="1439175847">
                                          <w:marLeft w:val="0"/>
                                          <w:marRight w:val="0"/>
                                          <w:marTop w:val="0"/>
                                          <w:marBottom w:val="0"/>
                                          <w:divBdr>
                                            <w:top w:val="none" w:sz="0" w:space="0" w:color="auto"/>
                                            <w:left w:val="none" w:sz="0" w:space="0" w:color="auto"/>
                                            <w:bottom w:val="none" w:sz="0" w:space="0" w:color="auto"/>
                                            <w:right w:val="none" w:sz="0" w:space="0" w:color="auto"/>
                                          </w:divBdr>
                                          <w:divsChild>
                                            <w:div w:id="139007774">
                                              <w:marLeft w:val="0"/>
                                              <w:marRight w:val="0"/>
                                              <w:marTop w:val="0"/>
                                              <w:marBottom w:val="0"/>
                                              <w:divBdr>
                                                <w:top w:val="none" w:sz="0" w:space="0" w:color="auto"/>
                                                <w:left w:val="none" w:sz="0" w:space="0" w:color="auto"/>
                                                <w:bottom w:val="none" w:sz="0" w:space="0" w:color="auto"/>
                                                <w:right w:val="none" w:sz="0" w:space="0" w:color="auto"/>
                                              </w:divBdr>
                                              <w:divsChild>
                                                <w:div w:id="1069034229">
                                                  <w:marLeft w:val="0"/>
                                                  <w:marRight w:val="0"/>
                                                  <w:marTop w:val="0"/>
                                                  <w:marBottom w:val="0"/>
                                                  <w:divBdr>
                                                    <w:top w:val="none" w:sz="0" w:space="0" w:color="auto"/>
                                                    <w:left w:val="none" w:sz="0" w:space="0" w:color="auto"/>
                                                    <w:bottom w:val="none" w:sz="0" w:space="0" w:color="auto"/>
                                                    <w:right w:val="none" w:sz="0" w:space="0" w:color="auto"/>
                                                  </w:divBdr>
                                                  <w:divsChild>
                                                    <w:div w:id="1766608369">
                                                      <w:marLeft w:val="0"/>
                                                      <w:marRight w:val="0"/>
                                                      <w:marTop w:val="0"/>
                                                      <w:marBottom w:val="0"/>
                                                      <w:divBdr>
                                                        <w:top w:val="single" w:sz="12" w:space="0" w:color="auto"/>
                                                        <w:left w:val="none" w:sz="0" w:space="0" w:color="auto"/>
                                                        <w:bottom w:val="none" w:sz="0" w:space="0" w:color="auto"/>
                                                        <w:right w:val="none" w:sz="0" w:space="0" w:color="auto"/>
                                                      </w:divBdr>
                                                      <w:divsChild>
                                                        <w:div w:id="719062139">
                                                          <w:marLeft w:val="0"/>
                                                          <w:marRight w:val="0"/>
                                                          <w:marTop w:val="0"/>
                                                          <w:marBottom w:val="0"/>
                                                          <w:divBdr>
                                                            <w:top w:val="none" w:sz="0" w:space="0" w:color="auto"/>
                                                            <w:left w:val="none" w:sz="0" w:space="0" w:color="auto"/>
                                                            <w:bottom w:val="none" w:sz="0" w:space="0" w:color="auto"/>
                                                            <w:right w:val="none" w:sz="0" w:space="0" w:color="auto"/>
                                                          </w:divBdr>
                                                          <w:divsChild>
                                                            <w:div w:id="2062358360">
                                                              <w:marLeft w:val="0"/>
                                                              <w:marRight w:val="0"/>
                                                              <w:marTop w:val="0"/>
                                                              <w:marBottom w:val="0"/>
                                                              <w:divBdr>
                                                                <w:top w:val="none" w:sz="0" w:space="0" w:color="auto"/>
                                                                <w:left w:val="none" w:sz="0" w:space="0" w:color="auto"/>
                                                                <w:bottom w:val="none" w:sz="0" w:space="0" w:color="auto"/>
                                                                <w:right w:val="none" w:sz="0" w:space="0" w:color="auto"/>
                                                              </w:divBdr>
                                                              <w:divsChild>
                                                                <w:div w:id="2079278124">
                                                                  <w:marLeft w:val="0"/>
                                                                  <w:marRight w:val="0"/>
                                                                  <w:marTop w:val="0"/>
                                                                  <w:marBottom w:val="0"/>
                                                                  <w:divBdr>
                                                                    <w:top w:val="none" w:sz="0" w:space="0" w:color="auto"/>
                                                                    <w:left w:val="none" w:sz="0" w:space="0" w:color="auto"/>
                                                                    <w:bottom w:val="none" w:sz="0" w:space="0" w:color="auto"/>
                                                                    <w:right w:val="none" w:sz="0" w:space="0" w:color="auto"/>
                                                                  </w:divBdr>
                                                                  <w:divsChild>
                                                                    <w:div w:id="755901849">
                                                                      <w:marLeft w:val="0"/>
                                                                      <w:marRight w:val="0"/>
                                                                      <w:marTop w:val="0"/>
                                                                      <w:marBottom w:val="0"/>
                                                                      <w:divBdr>
                                                                        <w:top w:val="none" w:sz="0" w:space="0" w:color="auto"/>
                                                                        <w:left w:val="none" w:sz="0" w:space="0" w:color="auto"/>
                                                                        <w:bottom w:val="none" w:sz="0" w:space="0" w:color="auto"/>
                                                                        <w:right w:val="none" w:sz="0" w:space="0" w:color="auto"/>
                                                                      </w:divBdr>
                                                                      <w:divsChild>
                                                                        <w:div w:id="1217552342">
                                                                          <w:marLeft w:val="0"/>
                                                                          <w:marRight w:val="0"/>
                                                                          <w:marTop w:val="0"/>
                                                                          <w:marBottom w:val="0"/>
                                                                          <w:divBdr>
                                                                            <w:top w:val="none" w:sz="0" w:space="0" w:color="auto"/>
                                                                            <w:left w:val="none" w:sz="0" w:space="0" w:color="auto"/>
                                                                            <w:bottom w:val="none" w:sz="0" w:space="0" w:color="auto"/>
                                                                            <w:right w:val="none" w:sz="0" w:space="0" w:color="auto"/>
                                                                          </w:divBdr>
                                                                          <w:divsChild>
                                                                            <w:div w:id="283579432">
                                                                              <w:marLeft w:val="0"/>
                                                                              <w:marRight w:val="0"/>
                                                                              <w:marTop w:val="0"/>
                                                                              <w:marBottom w:val="0"/>
                                                                              <w:divBdr>
                                                                                <w:top w:val="none" w:sz="0" w:space="0" w:color="auto"/>
                                                                                <w:left w:val="none" w:sz="0" w:space="0" w:color="auto"/>
                                                                                <w:bottom w:val="none" w:sz="0" w:space="0" w:color="auto"/>
                                                                                <w:right w:val="none" w:sz="0" w:space="0" w:color="auto"/>
                                                                              </w:divBdr>
                                                                              <w:divsChild>
                                                                                <w:div w:id="17107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580887">
      <w:bodyDiv w:val="1"/>
      <w:marLeft w:val="0"/>
      <w:marRight w:val="0"/>
      <w:marTop w:val="0"/>
      <w:marBottom w:val="0"/>
      <w:divBdr>
        <w:top w:val="none" w:sz="0" w:space="0" w:color="auto"/>
        <w:left w:val="none" w:sz="0" w:space="0" w:color="auto"/>
        <w:bottom w:val="none" w:sz="0" w:space="0" w:color="auto"/>
        <w:right w:val="none" w:sz="0" w:space="0" w:color="auto"/>
      </w:divBdr>
    </w:div>
    <w:div w:id="1415475053">
      <w:bodyDiv w:val="1"/>
      <w:marLeft w:val="0"/>
      <w:marRight w:val="0"/>
      <w:marTop w:val="0"/>
      <w:marBottom w:val="0"/>
      <w:divBdr>
        <w:top w:val="none" w:sz="0" w:space="0" w:color="auto"/>
        <w:left w:val="none" w:sz="0" w:space="0" w:color="auto"/>
        <w:bottom w:val="none" w:sz="0" w:space="0" w:color="auto"/>
        <w:right w:val="none" w:sz="0" w:space="0" w:color="auto"/>
      </w:divBdr>
    </w:div>
    <w:div w:id="1416708044">
      <w:bodyDiv w:val="1"/>
      <w:marLeft w:val="0"/>
      <w:marRight w:val="0"/>
      <w:marTop w:val="0"/>
      <w:marBottom w:val="0"/>
      <w:divBdr>
        <w:top w:val="none" w:sz="0" w:space="0" w:color="auto"/>
        <w:left w:val="none" w:sz="0" w:space="0" w:color="auto"/>
        <w:bottom w:val="none" w:sz="0" w:space="0" w:color="auto"/>
        <w:right w:val="none" w:sz="0" w:space="0" w:color="auto"/>
      </w:divBdr>
    </w:div>
    <w:div w:id="1439563868">
      <w:bodyDiv w:val="1"/>
      <w:marLeft w:val="0"/>
      <w:marRight w:val="0"/>
      <w:marTop w:val="0"/>
      <w:marBottom w:val="0"/>
      <w:divBdr>
        <w:top w:val="none" w:sz="0" w:space="0" w:color="auto"/>
        <w:left w:val="none" w:sz="0" w:space="0" w:color="auto"/>
        <w:bottom w:val="none" w:sz="0" w:space="0" w:color="auto"/>
        <w:right w:val="none" w:sz="0" w:space="0" w:color="auto"/>
      </w:divBdr>
    </w:div>
    <w:div w:id="1452168549">
      <w:bodyDiv w:val="1"/>
      <w:marLeft w:val="0"/>
      <w:marRight w:val="0"/>
      <w:marTop w:val="0"/>
      <w:marBottom w:val="0"/>
      <w:divBdr>
        <w:top w:val="none" w:sz="0" w:space="0" w:color="auto"/>
        <w:left w:val="none" w:sz="0" w:space="0" w:color="auto"/>
        <w:bottom w:val="none" w:sz="0" w:space="0" w:color="auto"/>
        <w:right w:val="none" w:sz="0" w:space="0" w:color="auto"/>
      </w:divBdr>
    </w:div>
    <w:div w:id="1473012956">
      <w:bodyDiv w:val="1"/>
      <w:marLeft w:val="0"/>
      <w:marRight w:val="0"/>
      <w:marTop w:val="0"/>
      <w:marBottom w:val="0"/>
      <w:divBdr>
        <w:top w:val="none" w:sz="0" w:space="0" w:color="auto"/>
        <w:left w:val="none" w:sz="0" w:space="0" w:color="auto"/>
        <w:bottom w:val="none" w:sz="0" w:space="0" w:color="auto"/>
        <w:right w:val="none" w:sz="0" w:space="0" w:color="auto"/>
      </w:divBdr>
    </w:div>
    <w:div w:id="1520047508">
      <w:bodyDiv w:val="1"/>
      <w:marLeft w:val="0"/>
      <w:marRight w:val="0"/>
      <w:marTop w:val="0"/>
      <w:marBottom w:val="0"/>
      <w:divBdr>
        <w:top w:val="none" w:sz="0" w:space="0" w:color="auto"/>
        <w:left w:val="none" w:sz="0" w:space="0" w:color="auto"/>
        <w:bottom w:val="none" w:sz="0" w:space="0" w:color="auto"/>
        <w:right w:val="none" w:sz="0" w:space="0" w:color="auto"/>
      </w:divBdr>
    </w:div>
    <w:div w:id="1633636519">
      <w:bodyDiv w:val="1"/>
      <w:marLeft w:val="0"/>
      <w:marRight w:val="0"/>
      <w:marTop w:val="0"/>
      <w:marBottom w:val="0"/>
      <w:divBdr>
        <w:top w:val="none" w:sz="0" w:space="0" w:color="auto"/>
        <w:left w:val="none" w:sz="0" w:space="0" w:color="auto"/>
        <w:bottom w:val="none" w:sz="0" w:space="0" w:color="auto"/>
        <w:right w:val="none" w:sz="0" w:space="0" w:color="auto"/>
      </w:divBdr>
    </w:div>
    <w:div w:id="1704788132">
      <w:bodyDiv w:val="1"/>
      <w:marLeft w:val="0"/>
      <w:marRight w:val="0"/>
      <w:marTop w:val="0"/>
      <w:marBottom w:val="0"/>
      <w:divBdr>
        <w:top w:val="none" w:sz="0" w:space="0" w:color="auto"/>
        <w:left w:val="none" w:sz="0" w:space="0" w:color="auto"/>
        <w:bottom w:val="none" w:sz="0" w:space="0" w:color="auto"/>
        <w:right w:val="none" w:sz="0" w:space="0" w:color="auto"/>
      </w:divBdr>
    </w:div>
    <w:div w:id="1708875063">
      <w:bodyDiv w:val="1"/>
      <w:marLeft w:val="0"/>
      <w:marRight w:val="0"/>
      <w:marTop w:val="0"/>
      <w:marBottom w:val="0"/>
      <w:divBdr>
        <w:top w:val="none" w:sz="0" w:space="0" w:color="auto"/>
        <w:left w:val="none" w:sz="0" w:space="0" w:color="auto"/>
        <w:bottom w:val="none" w:sz="0" w:space="0" w:color="auto"/>
        <w:right w:val="none" w:sz="0" w:space="0" w:color="auto"/>
      </w:divBdr>
    </w:div>
    <w:div w:id="1861813899">
      <w:bodyDiv w:val="1"/>
      <w:marLeft w:val="0"/>
      <w:marRight w:val="0"/>
      <w:marTop w:val="0"/>
      <w:marBottom w:val="0"/>
      <w:divBdr>
        <w:top w:val="none" w:sz="0" w:space="0" w:color="auto"/>
        <w:left w:val="none" w:sz="0" w:space="0" w:color="auto"/>
        <w:bottom w:val="none" w:sz="0" w:space="0" w:color="auto"/>
        <w:right w:val="none" w:sz="0" w:space="0" w:color="auto"/>
      </w:divBdr>
    </w:div>
    <w:div w:id="1882134365">
      <w:bodyDiv w:val="1"/>
      <w:marLeft w:val="0"/>
      <w:marRight w:val="0"/>
      <w:marTop w:val="0"/>
      <w:marBottom w:val="0"/>
      <w:divBdr>
        <w:top w:val="none" w:sz="0" w:space="0" w:color="auto"/>
        <w:left w:val="none" w:sz="0" w:space="0" w:color="auto"/>
        <w:bottom w:val="none" w:sz="0" w:space="0" w:color="auto"/>
        <w:right w:val="none" w:sz="0" w:space="0" w:color="auto"/>
      </w:divBdr>
    </w:div>
    <w:div w:id="1947351068">
      <w:bodyDiv w:val="1"/>
      <w:marLeft w:val="0"/>
      <w:marRight w:val="0"/>
      <w:marTop w:val="0"/>
      <w:marBottom w:val="0"/>
      <w:divBdr>
        <w:top w:val="none" w:sz="0" w:space="0" w:color="auto"/>
        <w:left w:val="none" w:sz="0" w:space="0" w:color="auto"/>
        <w:bottom w:val="none" w:sz="0" w:space="0" w:color="auto"/>
        <w:right w:val="none" w:sz="0" w:space="0" w:color="auto"/>
      </w:divBdr>
    </w:div>
    <w:div w:id="1960839129">
      <w:bodyDiv w:val="1"/>
      <w:marLeft w:val="0"/>
      <w:marRight w:val="0"/>
      <w:marTop w:val="0"/>
      <w:marBottom w:val="0"/>
      <w:divBdr>
        <w:top w:val="none" w:sz="0" w:space="0" w:color="auto"/>
        <w:left w:val="none" w:sz="0" w:space="0" w:color="auto"/>
        <w:bottom w:val="none" w:sz="0" w:space="0" w:color="auto"/>
        <w:right w:val="none" w:sz="0" w:space="0" w:color="auto"/>
      </w:divBdr>
    </w:div>
    <w:div w:id="1988631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fa.nhs.uk/reportfrau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_rels/footnotes.xml.rels><?xml version="1.0" encoding="UTF-8" standalone="yes"?>
<Relationships xmlns="http://schemas.openxmlformats.org/package/2006/relationships"><Relationship Id="rId1" Type="http://schemas.openxmlformats.org/officeDocument/2006/relationships/hyperlink" Target="https://www.nhsbsa.nhs.uk/sites/default/files/2018-02/180115%20Age%20Logic%20Summary%20Flow%20Chart%20-%20Revised%20Layout.pdf" TargetMode="External"/></Relationships>
</file>

<file path=word/theme/theme1.xml><?xml version="1.0" encoding="utf-8"?>
<a:theme xmlns:a="http://schemas.openxmlformats.org/drawingml/2006/main" name="NHS_Theme1">
  <a:themeElements>
    <a:clrScheme name="NHS_1">
      <a:dk1>
        <a:sysClr val="windowText" lastClr="000000"/>
      </a:dk1>
      <a:lt1>
        <a:sysClr val="window" lastClr="FFFFFF"/>
      </a:lt1>
      <a:dk2>
        <a:srgbClr val="005EB8"/>
      </a:dk2>
      <a:lt2>
        <a:srgbClr val="EEECE1"/>
      </a:lt2>
      <a:accent1>
        <a:srgbClr val="005EB8"/>
      </a:accent1>
      <a:accent2>
        <a:srgbClr val="8A1538"/>
      </a:accent2>
      <a:accent3>
        <a:srgbClr val="009639"/>
      </a:accent3>
      <a:accent4>
        <a:srgbClr val="330072"/>
      </a:accent4>
      <a:accent5>
        <a:srgbClr val="0091C9"/>
      </a:accent5>
      <a:accent6>
        <a:srgbClr val="D28304"/>
      </a:accent6>
      <a:hlink>
        <a:srgbClr val="0072CE"/>
      </a:hlink>
      <a:folHlink>
        <a:srgbClr val="3300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b86cd2-d370-4f57-9db8-681c4fb37596">
      <Terms xmlns="http://schemas.microsoft.com/office/infopath/2007/PartnerControls"/>
    </lcf76f155ced4ddcb4097134ff3c332f>
    <TaxCatchAll xmlns="2799d30d-6731-4efe-ac9b-c4895a8828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2D2087DE74C54DAA57B030A9EFE0EB" ma:contentTypeVersion="23" ma:contentTypeDescription="Create a new document." ma:contentTypeScope="" ma:versionID="cc14768faa940ca74fc582a27ed0d4fb">
  <xsd:schema xmlns:xsd="http://www.w3.org/2001/XMLSchema" xmlns:xs="http://www.w3.org/2001/XMLSchema" xmlns:p="http://schemas.microsoft.com/office/2006/metadata/properties" xmlns:ns1="http://schemas.microsoft.com/sharepoint/v3" xmlns:ns2="91b86cd2-d370-4f57-9db8-681c4fb37596" xmlns:ns3="563bd847-283f-48dc-9444-f54c9e765c55" xmlns:ns4="2799d30d-6731-4efe-ac9b-c4895a8828d9" targetNamespace="http://schemas.microsoft.com/office/2006/metadata/properties" ma:root="true" ma:fieldsID="5b5f3a75e9060a708cec84035c704085" ns1:_="" ns2:_="" ns3:_="" ns4:_="">
    <xsd:import namespace="http://schemas.microsoft.com/sharepoint/v3"/>
    <xsd:import namespace="91b86cd2-d370-4f57-9db8-681c4fb37596"/>
    <xsd:import namespace="563bd847-283f-48dc-9444-f54c9e765c55"/>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4: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86cd2-d370-4f57-9db8-681c4fb37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bd847-283f-48dc-9444-f54c9e765c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a67792c-7d54-4970-a5a9-9b543de3b627}" ma:internalName="TaxCatchAll" ma:showField="CatchAllData" ma:web="563bd847-283f-48dc-9444-f54c9e765c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E7653-0ECC-4346-8B78-146A7034BFF7}">
  <ds:schemaRefs>
    <ds:schemaRef ds:uri="http://schemas.openxmlformats.org/officeDocument/2006/bibliography"/>
  </ds:schemaRefs>
</ds:datastoreItem>
</file>

<file path=customXml/itemProps2.xml><?xml version="1.0" encoding="utf-8"?>
<ds:datastoreItem xmlns:ds="http://schemas.openxmlformats.org/officeDocument/2006/customXml" ds:itemID="{CE0A5403-54C2-4516-B479-7D04B85E4B26}">
  <ds:schemaRefs>
    <ds:schemaRef ds:uri="http://schemas.microsoft.com/office/2006/metadata/properties"/>
    <ds:schemaRef ds:uri="http://schemas.microsoft.com/office/infopath/2007/PartnerControls"/>
    <ds:schemaRef ds:uri="http://schemas.microsoft.com/sharepoint/v3"/>
    <ds:schemaRef ds:uri="91b86cd2-d370-4f57-9db8-681c4fb37596"/>
    <ds:schemaRef ds:uri="2799d30d-6731-4efe-ac9b-c4895a8828d9"/>
  </ds:schemaRefs>
</ds:datastoreItem>
</file>

<file path=customXml/itemProps3.xml><?xml version="1.0" encoding="utf-8"?>
<ds:datastoreItem xmlns:ds="http://schemas.openxmlformats.org/officeDocument/2006/customXml" ds:itemID="{FB846F5B-2AC2-4281-A37F-6BBAE3D3A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b86cd2-d370-4f57-9db8-681c4fb37596"/>
    <ds:schemaRef ds:uri="563bd847-283f-48dc-9444-f54c9e765c55"/>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2B3E4F-85FA-496C-9C4E-7033A2E80B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4469</Words>
  <Characters>25478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2025-09-05T13:55:00Z</dcterms:created>
  <dcterms:modified xsi:type="dcterms:W3CDTF">2025-09-05T13:55:00Z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0x0101006B2D2087DE74C54DAA57B030A9EFE0EB</vt:lpwstr>
  </property>
  <property fmtid="{D5CDD505-2E9C-101B-9397-08002B2CF9AE}" pid="3" name="MediaServiceImageTags">
    <vt:lpwstr/>
  </property>
</Properties>
</file>