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CB17" w14:textId="4408F751" w:rsidR="00614825" w:rsidRPr="004E73C5" w:rsidRDefault="00974A9D" w:rsidP="00614825">
      <w:pPr>
        <w:rPr>
          <w:color w:val="0070C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0179C8C" wp14:editId="07CE12DB">
            <wp:simplePos x="0" y="0"/>
            <wp:positionH relativeFrom="page">
              <wp:align>right</wp:align>
            </wp:positionH>
            <wp:positionV relativeFrom="page">
              <wp:posOffset>15417</wp:posOffset>
            </wp:positionV>
            <wp:extent cx="7560000" cy="1706400"/>
            <wp:effectExtent l="0" t="0" r="3175" b="8255"/>
            <wp:wrapTight wrapText="bothSides">
              <wp:wrapPolygon edited="0">
                <wp:start x="0" y="0"/>
                <wp:lineTo x="0" y="21463"/>
                <wp:lineTo x="21555" y="21463"/>
                <wp:lineTo x="21555" y="0"/>
                <wp:lineTo x="0" y="0"/>
              </wp:wrapPolygon>
            </wp:wrapTight>
            <wp:docPr id="1" name="Picture 1" descr="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3C0F3" w14:textId="27AA1C35" w:rsidR="00614825" w:rsidRPr="004E73C5" w:rsidRDefault="00614825" w:rsidP="00614825">
      <w:pPr>
        <w:rPr>
          <w:color w:val="0070C0"/>
        </w:rPr>
      </w:pPr>
    </w:p>
    <w:p w14:paraId="2F39233F" w14:textId="39BE42A8" w:rsidR="00614825" w:rsidRPr="00BF20B8" w:rsidRDefault="00BF20B8" w:rsidP="004E73C5">
      <w:pPr>
        <w:spacing w:after="160" w:line="259" w:lineRule="auto"/>
        <w:ind w:firstLine="720"/>
        <w:rPr>
          <w:rFonts w:eastAsia="Calibri" w:cs="Arial"/>
          <w:b/>
          <w:bCs/>
          <w:color w:val="0070C0"/>
          <w:kern w:val="2"/>
          <w:sz w:val="44"/>
          <w:szCs w:val="44"/>
          <w14:ligatures w14:val="standardContextual"/>
        </w:rPr>
      </w:pPr>
      <w:r w:rsidRPr="00BF20B8">
        <w:rPr>
          <w:rFonts w:eastAsia="Calibri" w:cs="Arial"/>
          <w:b/>
          <w:bCs/>
          <w:color w:val="0070C0"/>
          <w:kern w:val="2"/>
          <w:sz w:val="44"/>
          <w:szCs w:val="44"/>
          <w14:ligatures w14:val="standardContextual"/>
        </w:rPr>
        <w:t xml:space="preserve">NHS </w:t>
      </w:r>
      <w:r w:rsidR="00614825" w:rsidRPr="00BF20B8">
        <w:rPr>
          <w:rFonts w:eastAsia="Calibri" w:cs="Arial"/>
          <w:b/>
          <w:bCs/>
          <w:color w:val="0070C0"/>
          <w:kern w:val="2"/>
          <w:sz w:val="44"/>
          <w:szCs w:val="44"/>
          <w14:ligatures w14:val="standardContextual"/>
        </w:rPr>
        <w:t xml:space="preserve">Pensions </w:t>
      </w:r>
      <w:r w:rsidRPr="00BF20B8">
        <w:rPr>
          <w:rFonts w:eastAsia="Calibri" w:cs="Arial"/>
          <w:b/>
          <w:bCs/>
          <w:color w:val="0070C0"/>
          <w:kern w:val="2"/>
          <w:sz w:val="44"/>
          <w:szCs w:val="44"/>
          <w14:ligatures w14:val="standardContextual"/>
        </w:rPr>
        <w:t>Online Guide (POL)</w:t>
      </w:r>
    </w:p>
    <w:p w14:paraId="35CDCD32" w14:textId="65C7E1F9" w:rsidR="00614825" w:rsidRPr="00BF20B8" w:rsidRDefault="00BF20B8" w:rsidP="004E73C5">
      <w:pPr>
        <w:spacing w:after="160" w:line="259" w:lineRule="auto"/>
        <w:ind w:firstLine="720"/>
        <w:rPr>
          <w:rFonts w:eastAsia="Calibri" w:cs="Arial"/>
          <w:b/>
          <w:bCs/>
          <w:kern w:val="2"/>
          <w:sz w:val="36"/>
          <w:szCs w:val="36"/>
          <w14:ligatures w14:val="standardContextual"/>
        </w:rPr>
      </w:pPr>
      <w:r w:rsidRPr="00BF20B8">
        <w:rPr>
          <w:rFonts w:eastAsia="Calibri" w:cs="Arial"/>
          <w:b/>
          <w:bCs/>
          <w:kern w:val="2"/>
          <w:sz w:val="36"/>
          <w:szCs w:val="36"/>
          <w14:ligatures w14:val="standardContextual"/>
        </w:rPr>
        <w:t xml:space="preserve">44. </w:t>
      </w:r>
      <w:r w:rsidR="00614825" w:rsidRPr="00BF20B8">
        <w:rPr>
          <w:rFonts w:eastAsia="Calibri" w:cs="Arial"/>
          <w:b/>
          <w:bCs/>
          <w:kern w:val="2"/>
          <w:sz w:val="36"/>
          <w:szCs w:val="36"/>
          <w14:ligatures w14:val="standardContextual"/>
        </w:rPr>
        <w:t>McCloud REMEDY STATUS</w:t>
      </w:r>
    </w:p>
    <w:p w14:paraId="4CDA70C6" w14:textId="77777777" w:rsidR="00614825" w:rsidRPr="004E73C5" w:rsidRDefault="00614825" w:rsidP="00614825">
      <w:pPr>
        <w:spacing w:after="160" w:line="259" w:lineRule="auto"/>
        <w:rPr>
          <w:rFonts w:ascii="Calibri" w:eastAsia="Calibri" w:hAnsi="Calibri"/>
          <w:b/>
          <w:bCs/>
          <w:color w:val="0070C0"/>
          <w:kern w:val="2"/>
          <w:sz w:val="22"/>
          <w:szCs w:val="22"/>
          <w:u w:val="single"/>
          <w14:ligatures w14:val="standardContextual"/>
        </w:rPr>
      </w:pPr>
    </w:p>
    <w:p w14:paraId="761C51C5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5A2FDAA9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D70E398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6C8DF09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D02F7E2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7F2149E8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D2E90A7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22E1C774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7ABEE3C7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012BA979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487F948A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779E8852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228C29D9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72C178F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4A5970A6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0C203E87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E09296B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008841C3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3270CFD4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A699E42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3E27C702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233FAB4B" w14:textId="77777777" w:rsidR="003E2C95" w:rsidRDefault="003E2C9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5E87C852" w14:textId="77777777" w:rsidR="00BF20B8" w:rsidRDefault="00BF20B8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3D9DDAA4" w14:textId="08C4244B" w:rsidR="00614825" w:rsidRPr="003F496F" w:rsidRDefault="00614825" w:rsidP="00614825">
      <w:pPr>
        <w:spacing w:after="160" w:line="259" w:lineRule="auto"/>
        <w:rPr>
          <w:rFonts w:eastAsia="Calibri" w:cs="Arial"/>
          <w:b/>
          <w:bCs/>
          <w:kern w:val="2"/>
          <w:sz w:val="22"/>
          <w:szCs w:val="22"/>
          <w14:ligatures w14:val="standardContextual"/>
        </w:rPr>
      </w:pPr>
      <w:r w:rsidRPr="003F496F">
        <w:rPr>
          <w:rFonts w:eastAsia="Calibri" w:cs="Arial"/>
          <w:b/>
          <w:bCs/>
          <w:kern w:val="2"/>
          <w:sz w:val="22"/>
          <w:szCs w:val="22"/>
          <w14:ligatures w14:val="standardContextual"/>
        </w:rPr>
        <w:t xml:space="preserve">Pensions online – McCloud </w:t>
      </w:r>
      <w:r w:rsidR="003F496F" w:rsidRPr="003F496F">
        <w:rPr>
          <w:rFonts w:eastAsia="Calibri" w:cs="Arial"/>
          <w:b/>
          <w:bCs/>
          <w:kern w:val="2"/>
          <w:sz w:val="22"/>
          <w:szCs w:val="22"/>
          <w14:ligatures w14:val="standardContextual"/>
        </w:rPr>
        <w:t>REMEDY STATUS</w:t>
      </w:r>
    </w:p>
    <w:p w14:paraId="59CC6CE2" w14:textId="7DC18E9E" w:rsidR="007B16D1" w:rsidRDefault="00D708A2" w:rsidP="00614825">
      <w:pPr>
        <w:spacing w:after="160" w:line="259" w:lineRule="auto"/>
        <w:rPr>
          <w:rFonts w:eastAsia="Calibri" w:cs="Arial"/>
          <w:kern w:val="2"/>
          <w:sz w:val="22"/>
          <w:szCs w:val="22"/>
          <w14:ligatures w14:val="standardContextual"/>
        </w:rPr>
      </w:pPr>
      <w:r>
        <w:rPr>
          <w:rFonts w:eastAsia="Calibri" w:cs="Arial"/>
          <w:noProof/>
          <w:kern w:val="2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94D58" wp14:editId="70D123AB">
                <wp:simplePos x="0" y="0"/>
                <wp:positionH relativeFrom="column">
                  <wp:posOffset>2480310</wp:posOffset>
                </wp:positionH>
                <wp:positionV relativeFrom="paragraph">
                  <wp:posOffset>424759</wp:posOffset>
                </wp:positionV>
                <wp:extent cx="369736" cy="1470991"/>
                <wp:effectExtent l="0" t="0" r="68580" b="53340"/>
                <wp:wrapNone/>
                <wp:docPr id="36679949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36" cy="14709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FBA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5.3pt;margin-top:33.45pt;width:29.1pt;height:1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OEvwEAANADAAAOAAAAZHJzL2Uyb0RvYy54bWysU02P0zAQvSPxHyzfaZJd1KVR0z10gQuC&#10;FQs/wOuME0uObY2HJvn32E6bIkBIIC4Tf8ybefP8sr+fBsNOgEE72/BqU3IGVrpW267hX7+8e/WG&#10;s0DCtsI4Cw2fIfD7w8sX+9HXcON6Z1pAFovYUI++4T2Rr4siyB4GETbOg42XyuEgKG6xK1oUY6w+&#10;mOKmLLfF6LD16CSEEE8flkt+yPWVAkmflApAzDQ8cqMcMcfnFIvDXtQdCt9reaYh/oHFILSNTddS&#10;D4IE+4b6l1KDluiCU7SRbiicUlpCniFOU5U/TfPUCw95lihO8KtM4f+VlR9PR/uIUYbRhzr4R0xT&#10;TAqH9I382JTFmlexYCIm4+Htdnd3u+VMxqvq9V2521VJzeKK9hjoPbiBpUXDA6HQXU9HZ218F4dV&#10;VkycPgRagBdAam1siiS0eWtbRrOP5iHUwnYGzn1SSnGlnVc0G1jgn0Ex3UaiS5vsKDgaZCcRvSCk&#10;BEsXxsbG7ART2pgVWGZ+fwSe8xMUstv+BrwicmdnaQUP2jr8XXeaLpTVkn9RYJk7SfDs2jk/aJYm&#10;2ia/ydniyZc/7jP8+iMevgMAAP//AwBQSwMEFAAGAAgAAAAhAPIIOb/eAAAACgEAAA8AAABkcnMv&#10;ZG93bnJldi54bWxMj8tOwzAQRfdI/IM1SOyoQxJZSYhTlZfUJbRs2LnxkETE48h2W/P3mBVdjubo&#10;3nPbdTQzO6HzkyUJ96sMGFJv9USDhI/9610FzAdFWs2WUMIPelh311etarQ90zuedmFgKYR8oySM&#10;ISwN574f0Si/sgtS+n1ZZ1RIpxu4duqcws3M8ywT3KiJUsOoFnwasf/eHY2Ex7et2Tx/uohF8VL6&#10;uLc59Vspb2/i5gFYwBj+YfjTT+rQJaeDPZL2bJZQ1JlIqAQhamAJKMsqbTlIyOtKAO9afjmh+wUA&#10;AP//AwBQSwECLQAUAAYACAAAACEAtoM4kv4AAADhAQAAEwAAAAAAAAAAAAAAAAAAAAAAW0NvbnRl&#10;bnRfVHlwZXNdLnhtbFBLAQItABQABgAIAAAAIQA4/SH/1gAAAJQBAAALAAAAAAAAAAAAAAAAAC8B&#10;AABfcmVscy8ucmVsc1BLAQItABQABgAIAAAAIQAGFhOEvwEAANADAAAOAAAAAAAAAAAAAAAAAC4C&#10;AABkcnMvZTJvRG9jLnhtbFBLAQItABQABgAIAAAAIQDyCDm/3gAAAAoBAAAPAAAAAAAAAAAAAAAA&#10;ABkEAABkcnMvZG93bnJldi54bWxQSwUGAAAAAAQABADzAAAAJAUAAAAA&#10;" strokecolor="#4579b8 [3044]">
                <v:stroke endarrow="block"/>
              </v:shape>
            </w:pict>
          </mc:Fallback>
        </mc:AlternateContent>
      </w:r>
      <w:r w:rsidR="00614825" w:rsidRPr="00614825">
        <w:rPr>
          <w:rFonts w:eastAsia="Calibri" w:cs="Arial"/>
          <w:kern w:val="2"/>
          <w:sz w:val="22"/>
          <w:szCs w:val="22"/>
          <w14:ligatures w14:val="standardContextual"/>
        </w:rPr>
        <w:t>The new Pensions Online functionality called ‘McCloud REMEDY STATUS’ appear</w:t>
      </w:r>
      <w:r w:rsidR="003E2C95">
        <w:rPr>
          <w:rFonts w:eastAsia="Calibri" w:cs="Arial"/>
          <w:kern w:val="2"/>
          <w:sz w:val="22"/>
          <w:szCs w:val="22"/>
          <w14:ligatures w14:val="standardContextual"/>
        </w:rPr>
        <w:t>s</w:t>
      </w:r>
      <w:r w:rsidR="00614825"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on </w:t>
      </w:r>
      <w:r w:rsidR="003E2C95">
        <w:rPr>
          <w:rFonts w:eastAsia="Calibri" w:cs="Arial"/>
          <w:kern w:val="2"/>
          <w:sz w:val="22"/>
          <w:szCs w:val="22"/>
          <w14:ligatures w14:val="standardContextual"/>
        </w:rPr>
        <w:t>the</w:t>
      </w:r>
      <w:r w:rsidR="00614825"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list of options from the main ‘Employer menu’ page in Pensions Online and will be shown at the bottom of the list of options (please see below).</w:t>
      </w:r>
    </w:p>
    <w:p w14:paraId="515FE7C4" w14:textId="21274DAF" w:rsidR="001053E4" w:rsidRDefault="007B16D1" w:rsidP="00614825">
      <w:pPr>
        <w:spacing w:after="160" w:line="259" w:lineRule="auto"/>
        <w:rPr>
          <w:rFonts w:eastAsia="Calibri" w:cs="Arial"/>
          <w:kern w:val="2"/>
          <w:sz w:val="22"/>
          <w:szCs w:val="22"/>
          <w14:ligatures w14:val="standardContextual"/>
        </w:rPr>
      </w:pPr>
      <w:r w:rsidRPr="003A7EC6">
        <w:rPr>
          <w:noProof/>
        </w:rPr>
        <w:drawing>
          <wp:inline distT="0" distB="0" distL="0" distR="0" wp14:anchorId="6F86E891" wp14:editId="25950581">
            <wp:extent cx="5731510" cy="1932940"/>
            <wp:effectExtent l="0" t="0" r="2540" b="0"/>
            <wp:docPr id="722419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1946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F7C87" w14:textId="77777777" w:rsidR="00614825" w:rsidRPr="00614825" w:rsidRDefault="00614825" w:rsidP="00614825">
      <w:pPr>
        <w:spacing w:after="160" w:line="259" w:lineRule="auto"/>
        <w:rPr>
          <w:rFonts w:eastAsia="Calibri" w:cs="Arial"/>
          <w:kern w:val="2"/>
          <w:sz w:val="22"/>
          <w:szCs w:val="22"/>
          <w14:ligatures w14:val="standardContextual"/>
        </w:rPr>
      </w:pP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Within this new functionality you will not be able to amend any information or submit any details to the NHSBSA. </w:t>
      </w:r>
    </w:p>
    <w:p w14:paraId="22B8F786" w14:textId="5C6F76DE" w:rsidR="00614825" w:rsidRPr="00614825" w:rsidRDefault="00614825" w:rsidP="00614825">
      <w:pPr>
        <w:spacing w:after="160" w:line="259" w:lineRule="auto"/>
        <w:rPr>
          <w:rFonts w:eastAsia="Calibri" w:cs="Arial"/>
          <w:kern w:val="2"/>
          <w:sz w:val="22"/>
          <w:szCs w:val="22"/>
          <w14:ligatures w14:val="standardContextual"/>
        </w:rPr>
      </w:pP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>The ‘McCloud REMEDY STATUS’ option is there to allow you to check on all your staff members who are currently paying pension contributions to the NHS through your Trust/Surgery and have an ‘Active’ employment under your EA</w:t>
      </w:r>
      <w:r w:rsidR="00894BCD">
        <w:rPr>
          <w:rFonts w:eastAsia="Calibri" w:cs="Arial"/>
          <w:kern w:val="2"/>
          <w:sz w:val="22"/>
          <w:szCs w:val="22"/>
          <w14:ligatures w14:val="standardContextual"/>
        </w:rPr>
        <w:t>/GP</w:t>
      </w: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code to see if they were eligible for McCloud remedy and whether they are Remedy Eligible or not.</w:t>
      </w:r>
    </w:p>
    <w:p w14:paraId="2CFC972A" w14:textId="0C204B24" w:rsidR="00614825" w:rsidRDefault="00614825" w:rsidP="00614825">
      <w:pPr>
        <w:spacing w:after="160" w:line="259" w:lineRule="auto"/>
      </w:pP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Once the ‘McCloud REMEDY STATUS’ option is selected, it will list all your staff members who are currently paying pension contributions to the NHS through your </w:t>
      </w:r>
      <w:r w:rsidR="00EC5D68">
        <w:rPr>
          <w:rFonts w:eastAsia="Calibri" w:cs="Arial"/>
          <w:kern w:val="2"/>
          <w:sz w:val="22"/>
          <w:szCs w:val="22"/>
          <w14:ligatures w14:val="standardContextual"/>
        </w:rPr>
        <w:t>organisation</w:t>
      </w: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and have an ‘Active’ employment under your EA</w:t>
      </w:r>
      <w:r w:rsidR="00894BCD">
        <w:rPr>
          <w:rFonts w:eastAsia="Calibri" w:cs="Arial"/>
          <w:kern w:val="2"/>
          <w:sz w:val="22"/>
          <w:szCs w:val="22"/>
          <w14:ligatures w14:val="standardContextual"/>
        </w:rPr>
        <w:t>/GP</w:t>
      </w: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code on our system and the information supplied on the form is – Surname – Forename – NI Number - SD Number – Remedy Eligible (Please see below).</w:t>
      </w:r>
      <w:r w:rsidR="00CE7FBB" w:rsidRPr="00CE7FBB">
        <w:t xml:space="preserve"> </w:t>
      </w:r>
    </w:p>
    <w:p w14:paraId="6B22A3AA" w14:textId="0307A43C" w:rsidR="00D250F6" w:rsidRPr="00614825" w:rsidRDefault="004F16AD" w:rsidP="00614825">
      <w:pPr>
        <w:spacing w:after="160" w:line="259" w:lineRule="auto"/>
        <w:rPr>
          <w:rFonts w:eastAsia="Calibri" w:cs="Arial"/>
          <w:kern w:val="2"/>
          <w:sz w:val="22"/>
          <w:szCs w:val="22"/>
          <w14:ligatures w14:val="standardContextual"/>
        </w:rPr>
      </w:pPr>
      <w:r>
        <w:rPr>
          <w:rFonts w:eastAsia="Calibri" w:cs="Arial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3E2A46EF" wp14:editId="61FF5E4E">
            <wp:extent cx="6460898" cy="2247900"/>
            <wp:effectExtent l="0" t="0" r="0" b="0"/>
            <wp:docPr id="958162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642" cy="2252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3187E" w14:textId="7FB29736" w:rsidR="004D1566" w:rsidRPr="008A4F37" w:rsidRDefault="00614825" w:rsidP="004F16AD">
      <w:pPr>
        <w:tabs>
          <w:tab w:val="left" w:pos="7842"/>
        </w:tabs>
        <w:spacing w:line="320" w:lineRule="exact"/>
        <w:rPr>
          <w:rFonts w:cs="Arial"/>
        </w:rPr>
      </w:pP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The ‘Remedy Eligibility’ field will either have an ‘Y’ or ‘N’ populated to advise you if the </w:t>
      </w:r>
      <w:bookmarkStart w:id="0" w:name="_Int_BQC8A6pR"/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>particular member</w:t>
      </w:r>
      <w:bookmarkEnd w:id="0"/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of staff is eligible for McCloud remedy or not.</w:t>
      </w:r>
    </w:p>
    <w:sectPr w:rsidR="004D1566" w:rsidRPr="008A4F37" w:rsidSect="00BD561F">
      <w:headerReference w:type="default" r:id="rId13"/>
      <w:footerReference w:type="default" r:id="rId14"/>
      <w:footerReference w:type="first" r:id="rId15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7F86" w14:textId="77777777" w:rsidR="00FF2DF6" w:rsidRDefault="00FF2DF6" w:rsidP="00D023EC">
      <w:r>
        <w:separator/>
      </w:r>
    </w:p>
  </w:endnote>
  <w:endnote w:type="continuationSeparator" w:id="0">
    <w:p w14:paraId="0696D670" w14:textId="77777777" w:rsidR="00FF2DF6" w:rsidRDefault="00FF2DF6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68D4" w14:textId="77777777" w:rsidR="00AB0E00" w:rsidRPr="00AB0E00" w:rsidRDefault="00AB0E00" w:rsidP="00AB0E00">
    <w:pPr>
      <w:pStyle w:val="Footer"/>
      <w:jc w:val="right"/>
      <w:rPr>
        <w:sz w:val="20"/>
        <w:szCs w:val="20"/>
      </w:rPr>
    </w:pPr>
    <w:r w:rsidRPr="00AB0E00">
      <w:rPr>
        <w:sz w:val="20"/>
        <w:szCs w:val="20"/>
      </w:rPr>
      <w:t>44. McCloud remedy status-20250710-(V2)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73D3" w14:textId="06BBDE17" w:rsidR="00387D84" w:rsidRPr="00AB0E00" w:rsidRDefault="00387D84" w:rsidP="00AB0E00">
    <w:pPr>
      <w:pStyle w:val="Footer"/>
      <w:jc w:val="right"/>
      <w:rPr>
        <w:sz w:val="20"/>
        <w:szCs w:val="20"/>
      </w:rPr>
    </w:pPr>
    <w:r w:rsidRPr="00AB0E00">
      <w:rPr>
        <w:sz w:val="20"/>
        <w:szCs w:val="20"/>
      </w:rPr>
      <w:t xml:space="preserve">44. </w:t>
    </w:r>
    <w:r w:rsidR="00A32737" w:rsidRPr="00AB0E00">
      <w:rPr>
        <w:sz w:val="20"/>
        <w:szCs w:val="20"/>
      </w:rPr>
      <w:t>McCloud remedy status-20250710-</w:t>
    </w:r>
    <w:r w:rsidR="00AB0E00" w:rsidRPr="00AB0E00">
      <w:rPr>
        <w:sz w:val="20"/>
        <w:szCs w:val="20"/>
      </w:rPr>
      <w:t>(V2)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81ADD" w14:textId="77777777" w:rsidR="00FF2DF6" w:rsidRDefault="00FF2DF6" w:rsidP="00D023EC">
      <w:r>
        <w:separator/>
      </w:r>
    </w:p>
  </w:footnote>
  <w:footnote w:type="continuationSeparator" w:id="0">
    <w:p w14:paraId="4D4D1D6A" w14:textId="77777777" w:rsidR="00FF2DF6" w:rsidRDefault="00FF2DF6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1883" w14:textId="77777777" w:rsidR="00080904" w:rsidRDefault="00080904" w:rsidP="0070180D">
    <w:pPr>
      <w:pStyle w:val="Header"/>
      <w:ind w:left="-964" w:right="-9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4670E"/>
    <w:rsid w:val="00080904"/>
    <w:rsid w:val="001053E4"/>
    <w:rsid w:val="00136D79"/>
    <w:rsid w:val="001A19E3"/>
    <w:rsid w:val="001F2FBF"/>
    <w:rsid w:val="00232DB0"/>
    <w:rsid w:val="0028475E"/>
    <w:rsid w:val="002B5692"/>
    <w:rsid w:val="00350100"/>
    <w:rsid w:val="00386F12"/>
    <w:rsid w:val="00387D84"/>
    <w:rsid w:val="00391EE2"/>
    <w:rsid w:val="003E2C95"/>
    <w:rsid w:val="003F496F"/>
    <w:rsid w:val="004074DA"/>
    <w:rsid w:val="00431E39"/>
    <w:rsid w:val="00457C07"/>
    <w:rsid w:val="004D1566"/>
    <w:rsid w:val="004E73C5"/>
    <w:rsid w:val="004F16AD"/>
    <w:rsid w:val="004F7882"/>
    <w:rsid w:val="00527F40"/>
    <w:rsid w:val="00534AE8"/>
    <w:rsid w:val="005939AB"/>
    <w:rsid w:val="005D1138"/>
    <w:rsid w:val="005F636C"/>
    <w:rsid w:val="00614825"/>
    <w:rsid w:val="0063459D"/>
    <w:rsid w:val="0070180D"/>
    <w:rsid w:val="00711A55"/>
    <w:rsid w:val="007A2E5D"/>
    <w:rsid w:val="007B16D1"/>
    <w:rsid w:val="00847328"/>
    <w:rsid w:val="008562CC"/>
    <w:rsid w:val="00894BCD"/>
    <w:rsid w:val="008A4F37"/>
    <w:rsid w:val="008A6CBF"/>
    <w:rsid w:val="008D30C5"/>
    <w:rsid w:val="008D3F83"/>
    <w:rsid w:val="00901BBA"/>
    <w:rsid w:val="009142D4"/>
    <w:rsid w:val="00933DE2"/>
    <w:rsid w:val="00961BA9"/>
    <w:rsid w:val="00974A9D"/>
    <w:rsid w:val="009F1AC1"/>
    <w:rsid w:val="00A240B9"/>
    <w:rsid w:val="00A32737"/>
    <w:rsid w:val="00A44499"/>
    <w:rsid w:val="00AA3310"/>
    <w:rsid w:val="00AB0E00"/>
    <w:rsid w:val="00AD01D2"/>
    <w:rsid w:val="00AE62F7"/>
    <w:rsid w:val="00B014D2"/>
    <w:rsid w:val="00B67C44"/>
    <w:rsid w:val="00BD561F"/>
    <w:rsid w:val="00BF20B8"/>
    <w:rsid w:val="00C427B7"/>
    <w:rsid w:val="00C46460"/>
    <w:rsid w:val="00C65736"/>
    <w:rsid w:val="00CA40E1"/>
    <w:rsid w:val="00CC3046"/>
    <w:rsid w:val="00CE7FBB"/>
    <w:rsid w:val="00D023EC"/>
    <w:rsid w:val="00D05D6F"/>
    <w:rsid w:val="00D250F6"/>
    <w:rsid w:val="00D708A2"/>
    <w:rsid w:val="00DA2BBD"/>
    <w:rsid w:val="00DF0559"/>
    <w:rsid w:val="00E602DA"/>
    <w:rsid w:val="00E967CC"/>
    <w:rsid w:val="00EB562D"/>
    <w:rsid w:val="00EC5D68"/>
    <w:rsid w:val="00F65DFB"/>
    <w:rsid w:val="00F91878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C31873"/>
  <w15:docId w15:val="{D11287FC-5A0D-4F58-9BC1-4B34E28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E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9E3"/>
    <w:pPr>
      <w:keepNext/>
      <w:keepLines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9E3"/>
    <w:pPr>
      <w:keepNext/>
      <w:keepLines/>
      <w:outlineLvl w:val="1"/>
    </w:pPr>
    <w:rPr>
      <w:rFonts w:eastAsiaTheme="majorEastAsia" w:cstheme="majorBidi"/>
      <w:b/>
      <w:bCs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9E3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19E3"/>
    <w:rPr>
      <w:rFonts w:ascii="Arial" w:eastAsiaTheme="majorEastAsia" w:hAnsi="Arial" w:cstheme="majorBidi"/>
      <w:b/>
      <w:bCs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A19E3"/>
    <w:rPr>
      <w:rFonts w:ascii="Arial" w:eastAsiaTheme="majorEastAsia" w:hAnsi="Arial" w:cstheme="majorBidi"/>
      <w:b/>
      <w:bCs/>
      <w:sz w:val="4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A19E3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C5D68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4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0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0B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95806-f6fc-4c4c-8f7e-33fb8178eadb">
      <Terms xmlns="http://schemas.microsoft.com/office/infopath/2007/PartnerControls"/>
    </lcf76f155ced4ddcb4097134ff3c332f>
    <TaxCatchAll xmlns="eede4106-cd7d-483e-b9ea-54a8c446956c" xsi:nil="true"/>
  </documentManagement>
</p:properties>
</file>

<file path=customXml/itemProps1.xml><?xml version="1.0" encoding="utf-8"?>
<ds:datastoreItem xmlns:ds="http://schemas.openxmlformats.org/officeDocument/2006/customXml" ds:itemID="{6657B060-13AF-46A4-ABAC-29E198F65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A96C7-F7EB-4771-A109-A8F23CC8C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5806-f6fc-4c4c-8f7e-33fb8178eadb"/>
    <ds:schemaRef ds:uri="eede4106-cd7d-483e-b9ea-54a8c446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AC574-6FE5-4CDD-8677-73890978A5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29B5F-5E88-4736-9A98-800F8E72EC83}">
  <ds:schemaRefs>
    <ds:schemaRef ds:uri="http://schemas.microsoft.com/office/2006/metadata/properties"/>
    <ds:schemaRef ds:uri="http://schemas.microsoft.com/office/infopath/2007/PartnerControls"/>
    <ds:schemaRef ds:uri="9c395806-f6fc-4c4c-8f7e-33fb8178eadb"/>
    <ds:schemaRef ds:uri="eede4106-cd7d-483e-b9ea-54a8c44695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Report cover</vt:lpstr>
    </vt:vector>
  </TitlesOfParts>
  <Company>CDS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Jones</dc:creator>
  <cp:lastModifiedBy>Holly Cleveland</cp:lastModifiedBy>
  <cp:revision>8</cp:revision>
  <cp:lastPrinted>2013-06-25T15:38:00Z</cp:lastPrinted>
  <dcterms:created xsi:type="dcterms:W3CDTF">2025-06-16T14:31:00Z</dcterms:created>
  <dcterms:modified xsi:type="dcterms:W3CDTF">2025-07-10T09:56:00Z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0x010100BCEFE3F2A70A774AA81C66F54E7BF471</vt:lpwstr>
  </property>
  <property fmtid="{D5CDD505-2E9C-101B-9397-08002B2CF9AE}" pid="3" name="DepartmentManagedMetadata">
    <vt:lpwstr>60;#Corporate Secretary|8ce7668d-b89c-41e7-9802-b4225d739608</vt:lpwstr>
  </property>
  <property fmtid="{D5CDD505-2E9C-101B-9397-08002B2CF9AE}" pid="4" name="IntranetCategoryManagedMetadata">
    <vt:lpwstr>396;#Letters forms and guides|f266ed40-ae8e-40ee-85f9-bb15cc30777b</vt:lpwstr>
  </property>
  <property fmtid="{D5CDD505-2E9C-101B-9397-08002B2CF9AE}" pid="5" name="CategoryManagedMetadata">
    <vt:lpwstr>26;#Managing Corporate Governance|4efcfde1-6fed-4518-8f71-9ffee1403b52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