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23936FA8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9114C">
              <w:rPr>
                <w:rFonts w:ascii="Arial" w:hAnsi="Arial" w:cs="Arial"/>
              </w:rPr>
              <w:t>2</w:t>
            </w:r>
            <w:r w:rsidR="00173AE0">
              <w:rPr>
                <w:rFonts w:ascii="Arial" w:hAnsi="Arial" w:cs="Arial"/>
              </w:rPr>
              <w:t xml:space="preserve">8 </w:t>
            </w:r>
            <w:r w:rsidR="007A1FB8">
              <w:rPr>
                <w:rFonts w:ascii="Arial" w:hAnsi="Arial" w:cs="Arial"/>
              </w:rPr>
              <w:t>Oct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3133A440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7A1FB8">
        <w:rPr>
          <w:rFonts w:ascii="Arial" w:eastAsia="Times New Roman" w:hAnsi="Arial" w:cs="Arial"/>
        </w:rPr>
        <w:t>10</w:t>
      </w:r>
      <w:r w:rsidR="00202011">
        <w:rPr>
          <w:rFonts w:ascii="Arial" w:eastAsia="Times New Roman" w:hAnsi="Arial" w:cs="Arial"/>
        </w:rPr>
        <w:t>.</w:t>
      </w:r>
      <w:r w:rsidR="00173AE0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5BCC61AF" w14:textId="77777777" w:rsidR="00BF50D3" w:rsidRDefault="00BF50D3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1BC85D96" w14:textId="77777777" w:rsidR="00BF50D3" w:rsidRDefault="00BF50D3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4ACC543C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4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5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Pr="008A2B8D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3DBA032" w14:textId="77777777" w:rsidR="00A32E3F" w:rsidRDefault="00A32E3F" w:rsidP="00AE7E72">
      <w:pPr>
        <w:rPr>
          <w:rFonts w:ascii="Arial" w:eastAsia="Aptos" w:hAnsi="Arial" w:cs="Arial"/>
          <w:b/>
          <w:bCs/>
          <w:u w:val="single"/>
          <w:lang w:val="en-GB" w:eastAsia="en-GB"/>
        </w:rPr>
      </w:pPr>
    </w:p>
    <w:p w14:paraId="330050D0" w14:textId="77777777" w:rsidR="00A32E3F" w:rsidRDefault="00A32E3F" w:rsidP="00AE7E72">
      <w:pPr>
        <w:rPr>
          <w:rFonts w:ascii="Arial" w:eastAsia="Aptos" w:hAnsi="Arial" w:cs="Arial"/>
          <w:b/>
          <w:bCs/>
          <w:u w:val="single"/>
          <w:lang w:val="en-GB" w:eastAsia="en-GB"/>
        </w:rPr>
      </w:pPr>
    </w:p>
    <w:p w14:paraId="770A7A66" w14:textId="77777777" w:rsidR="00A32E3F" w:rsidRDefault="00A32E3F" w:rsidP="00AE7E72">
      <w:pPr>
        <w:rPr>
          <w:rFonts w:ascii="Arial" w:eastAsia="Aptos" w:hAnsi="Arial" w:cs="Arial"/>
          <w:b/>
          <w:bCs/>
          <w:u w:val="single"/>
          <w:lang w:val="en-GB" w:eastAsia="en-GB"/>
        </w:rPr>
      </w:pPr>
    </w:p>
    <w:p w14:paraId="3E2D0360" w14:textId="2E290751" w:rsidR="00AE7E72" w:rsidRPr="00AE7E72" w:rsidRDefault="00AE7E72" w:rsidP="00AE7E72">
      <w:pPr>
        <w:rPr>
          <w:rFonts w:ascii="Arial" w:eastAsia="Aptos" w:hAnsi="Arial" w:cs="Arial"/>
          <w:u w:val="single"/>
          <w:lang w:val="en-GB" w:eastAsia="en-GB"/>
        </w:rPr>
      </w:pPr>
      <w:r w:rsidRPr="00AE7E72">
        <w:rPr>
          <w:rFonts w:ascii="Arial" w:eastAsia="Aptos" w:hAnsi="Arial" w:cs="Arial"/>
          <w:b/>
          <w:bCs/>
          <w:u w:val="single"/>
          <w:lang w:val="en-GB" w:eastAsia="en-GB"/>
        </w:rPr>
        <w:lastRenderedPageBreak/>
        <w:t>SNOMED International consultation on the inactivation of Role Groupers in Substance and Medicinal Product Hierarchies</w:t>
      </w:r>
    </w:p>
    <w:p w14:paraId="5FE74840" w14:textId="77777777" w:rsidR="00AE7E72" w:rsidRPr="00AE7E72" w:rsidRDefault="00AE7E72" w:rsidP="00AE7E72">
      <w:pPr>
        <w:rPr>
          <w:rFonts w:ascii="Calibri" w:eastAsia="Aptos" w:hAnsi="Calibri" w:cs="Calibri"/>
          <w:sz w:val="22"/>
          <w:szCs w:val="22"/>
          <w:lang w:val="en-GB" w:eastAsia="en-GB"/>
        </w:rPr>
      </w:pPr>
      <w:r w:rsidRPr="00AE7E72">
        <w:rPr>
          <w:rFonts w:ascii="Calibri" w:eastAsia="Aptos" w:hAnsi="Calibri" w:cs="Calibri"/>
          <w:sz w:val="22"/>
          <w:szCs w:val="22"/>
          <w:lang w:val="en-GB" w:eastAsia="en-GB"/>
        </w:rPr>
        <w:t> </w:t>
      </w:r>
    </w:p>
    <w:p w14:paraId="46CB98F0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We are providing an update to the information posted in </w:t>
      </w:r>
      <w:hyperlink r:id="rId16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June</w:t>
        </w:r>
      </w:hyperlink>
      <w:r w:rsidRPr="00AE7E72">
        <w:rPr>
          <w:rFonts w:ascii="Arial" w:eastAsia="Aptos" w:hAnsi="Arial" w:cs="Arial"/>
          <w:lang w:val="en-GB" w:eastAsia="en-GB"/>
        </w:rPr>
        <w:t> regarding the inactivation of Medicinal Product therapeutic role groupers.</w:t>
      </w:r>
    </w:p>
    <w:p w14:paraId="0BB7194A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 </w:t>
      </w:r>
    </w:p>
    <w:p w14:paraId="0A51E728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SNOMED International inactivated the </w:t>
      </w:r>
      <w:hyperlink r:id="rId17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178 Medicinal Product Role Groupers</w:t>
        </w:r>
      </w:hyperlink>
      <w:r w:rsidRPr="00AE7E72">
        <w:rPr>
          <w:rFonts w:ascii="Arial" w:eastAsia="Aptos" w:hAnsi="Arial" w:cs="Arial"/>
          <w:lang w:val="en-GB" w:eastAsia="en-GB"/>
        </w:rPr>
        <w:t> in their August 2024 International release.</w:t>
      </w:r>
    </w:p>
    <w:p w14:paraId="031D90A6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 </w:t>
      </w:r>
    </w:p>
    <w:p w14:paraId="2042DCBD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NHS England have reactivated </w:t>
      </w:r>
      <w:hyperlink r:id="rId18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52 Medicinal Product Role Groupers</w:t>
        </w:r>
      </w:hyperlink>
      <w:r w:rsidRPr="00AE7E72">
        <w:rPr>
          <w:rFonts w:ascii="Arial" w:eastAsia="Aptos" w:hAnsi="Arial" w:cs="Arial"/>
          <w:lang w:val="en-GB" w:eastAsia="en-GB"/>
        </w:rPr>
        <w:t> in release 39.0.0 of the SNOMED CT UK Drug Extension, due 02 October 2024. </w:t>
      </w:r>
      <w:hyperlink r:id="rId19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126 Medicinal Product Role Groupers</w:t>
        </w:r>
      </w:hyperlink>
      <w:r w:rsidRPr="00AE7E72">
        <w:rPr>
          <w:rFonts w:ascii="Arial" w:eastAsia="Aptos" w:hAnsi="Arial" w:cs="Arial"/>
          <w:lang w:val="en-GB" w:eastAsia="en-GB"/>
        </w:rPr>
        <w:t> will be inactive in release 39.0.0.</w:t>
      </w:r>
    </w:p>
    <w:p w14:paraId="401B0D7D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 </w:t>
      </w:r>
    </w:p>
    <w:p w14:paraId="68E1422F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NHS England is aware that </w:t>
      </w:r>
      <w:hyperlink r:id="rId20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23 Medicinal Product Role Groupers</w:t>
        </w:r>
      </w:hyperlink>
      <w:r w:rsidRPr="00AE7E72">
        <w:rPr>
          <w:rFonts w:ascii="Arial" w:eastAsia="Aptos" w:hAnsi="Arial" w:cs="Arial"/>
          <w:lang w:val="en-GB" w:eastAsia="en-GB"/>
        </w:rPr>
        <w:t> are members of the </w:t>
      </w:r>
      <w:r w:rsidRPr="00AE7E72">
        <w:rPr>
          <w:rFonts w:ascii="Arial" w:eastAsia="Aptos" w:hAnsi="Arial" w:cs="Arial"/>
          <w:b/>
          <w:bCs/>
          <w:lang w:val="en-GB" w:eastAsia="en-GB"/>
        </w:rPr>
        <w:t>Allergy Archetypes Drug Groups simple reference set. </w:t>
      </w:r>
      <w:hyperlink r:id="rId21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5 Medicinal Product Role Groupers</w:t>
        </w:r>
      </w:hyperlink>
      <w:r w:rsidRPr="00AE7E72">
        <w:rPr>
          <w:rFonts w:ascii="Arial" w:eastAsia="Aptos" w:hAnsi="Arial" w:cs="Arial"/>
          <w:lang w:val="en-GB" w:eastAsia="en-GB"/>
        </w:rPr>
        <w:t xml:space="preserve"> within the </w:t>
      </w:r>
      <w:proofErr w:type="spellStart"/>
      <w:r w:rsidRPr="00AE7E72">
        <w:rPr>
          <w:rFonts w:ascii="Arial" w:eastAsia="Aptos" w:hAnsi="Arial" w:cs="Arial"/>
          <w:lang w:val="en-GB" w:eastAsia="en-GB"/>
        </w:rPr>
        <w:t>refset</w:t>
      </w:r>
      <w:proofErr w:type="spellEnd"/>
      <w:r w:rsidRPr="00AE7E72">
        <w:rPr>
          <w:rFonts w:ascii="Arial" w:eastAsia="Aptos" w:hAnsi="Arial" w:cs="Arial"/>
          <w:lang w:val="en-GB" w:eastAsia="en-GB"/>
        </w:rPr>
        <w:t xml:space="preserve"> will be active in release 39.0.0. NHS England are looking at reactivating the remaining </w:t>
      </w:r>
      <w:hyperlink r:id="rId22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18 Medicinal Product Role Groupers in release</w:t>
        </w:r>
      </w:hyperlink>
      <w:r w:rsidRPr="00AE7E72">
        <w:rPr>
          <w:rFonts w:ascii="Arial" w:eastAsia="Aptos" w:hAnsi="Arial" w:cs="Arial"/>
          <w:lang w:val="en-GB" w:eastAsia="en-GB"/>
        </w:rPr>
        <w:t xml:space="preserve"> 39.1.0, due 30 October 2024, to support this </w:t>
      </w:r>
      <w:proofErr w:type="spellStart"/>
      <w:r w:rsidRPr="00AE7E72">
        <w:rPr>
          <w:rFonts w:ascii="Arial" w:eastAsia="Aptos" w:hAnsi="Arial" w:cs="Arial"/>
          <w:lang w:val="en-GB" w:eastAsia="en-GB"/>
        </w:rPr>
        <w:t>refset</w:t>
      </w:r>
      <w:proofErr w:type="spellEnd"/>
      <w:r w:rsidRPr="00AE7E72">
        <w:rPr>
          <w:rFonts w:ascii="Arial" w:eastAsia="Aptos" w:hAnsi="Arial" w:cs="Arial"/>
          <w:lang w:val="en-GB" w:eastAsia="en-GB"/>
        </w:rPr>
        <w:t>.</w:t>
      </w:r>
    </w:p>
    <w:p w14:paraId="24B4F3BF" w14:textId="77777777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 </w:t>
      </w:r>
    </w:p>
    <w:p w14:paraId="4CF7A4BA" w14:textId="4C1F7F66" w:rsidR="00AE7E72" w:rsidRPr="00AE7E72" w:rsidRDefault="00AE7E72" w:rsidP="00AE7E72">
      <w:pPr>
        <w:rPr>
          <w:rFonts w:ascii="Arial" w:eastAsia="Aptos" w:hAnsi="Arial" w:cs="Arial"/>
          <w:lang w:val="en-GB" w:eastAsia="en-GB"/>
        </w:rPr>
      </w:pPr>
      <w:r w:rsidRPr="00AE7E72">
        <w:rPr>
          <w:rFonts w:ascii="Arial" w:eastAsia="Aptos" w:hAnsi="Arial" w:cs="Arial"/>
          <w:lang w:val="en-GB" w:eastAsia="en-GB"/>
        </w:rPr>
        <w:t>If you have any questions, please</w:t>
      </w:r>
      <w:r w:rsidR="005C3046">
        <w:rPr>
          <w:rFonts w:ascii="Arial" w:eastAsia="Aptos" w:hAnsi="Arial" w:cs="Arial"/>
          <w:lang w:val="en-GB" w:eastAsia="en-GB"/>
        </w:rPr>
        <w:t xml:space="preserve"> </w:t>
      </w:r>
      <w:r w:rsidRPr="00AE7E72">
        <w:rPr>
          <w:rFonts w:ascii="Arial" w:eastAsia="Aptos" w:hAnsi="Arial" w:cs="Arial"/>
          <w:lang w:val="en-GB" w:eastAsia="en-GB"/>
        </w:rPr>
        <w:t>email</w:t>
      </w:r>
      <w:r w:rsidR="005C3046">
        <w:rPr>
          <w:rFonts w:ascii="Arial" w:eastAsia="Aptos" w:hAnsi="Arial" w:cs="Arial"/>
          <w:lang w:val="en-GB" w:eastAsia="en-GB"/>
        </w:rPr>
        <w:t xml:space="preserve"> </w:t>
      </w:r>
      <w:hyperlink r:id="rId23" w:history="1">
        <w:r w:rsidRPr="00AE7E72">
          <w:rPr>
            <w:rFonts w:ascii="Arial" w:eastAsia="Aptos" w:hAnsi="Arial" w:cs="Arial"/>
            <w:color w:val="0563C1"/>
            <w:u w:val="single"/>
            <w:lang w:val="en-GB" w:eastAsia="en-GB"/>
          </w:rPr>
          <w:t>information.standards@nhs.net</w:t>
        </w:r>
      </w:hyperlink>
      <w:r w:rsidR="0064634F">
        <w:rPr>
          <w:rFonts w:ascii="Arial" w:eastAsia="Aptos" w:hAnsi="Arial" w:cs="Arial"/>
          <w:lang w:val="en-GB" w:eastAsia="en-GB"/>
        </w:rPr>
        <w:t xml:space="preserve"> </w:t>
      </w:r>
      <w:r w:rsidRPr="00AE7E72">
        <w:rPr>
          <w:rFonts w:ascii="Arial" w:eastAsia="Aptos" w:hAnsi="Arial" w:cs="Arial"/>
          <w:lang w:val="en-GB" w:eastAsia="en-GB"/>
        </w:rPr>
        <w:t>adding</w:t>
      </w:r>
      <w:r w:rsidR="0064634F">
        <w:rPr>
          <w:rFonts w:ascii="Arial" w:eastAsia="Aptos" w:hAnsi="Arial" w:cs="Arial"/>
          <w:lang w:val="en-GB" w:eastAsia="en-GB"/>
        </w:rPr>
        <w:t xml:space="preserve"> </w:t>
      </w:r>
      <w:r w:rsidRPr="00AE7E72">
        <w:rPr>
          <w:rFonts w:ascii="Arial" w:eastAsia="Aptos" w:hAnsi="Arial" w:cs="Arial"/>
          <w:b/>
          <w:bCs/>
          <w:lang w:val="en-GB" w:eastAsia="en-GB"/>
        </w:rPr>
        <w:t>‘Inactivation of Therapeutic Role Groupers in the Medicinal Product Hierarchy’ </w:t>
      </w:r>
      <w:r w:rsidRPr="00AE7E72">
        <w:rPr>
          <w:rFonts w:ascii="Arial" w:eastAsia="Aptos" w:hAnsi="Arial" w:cs="Arial"/>
          <w:lang w:val="en-GB" w:eastAsia="en-GB"/>
        </w:rPr>
        <w:t>to the subject line.</w:t>
      </w:r>
    </w:p>
    <w:p w14:paraId="215CE683" w14:textId="77777777" w:rsidR="00D9589A" w:rsidRDefault="00D9589A" w:rsidP="00617C0C">
      <w:pPr>
        <w:rPr>
          <w:rFonts w:ascii="Arial" w:hAnsi="Arial" w:cs="Arial"/>
          <w:b/>
          <w:bCs/>
          <w:u w:val="single"/>
        </w:rPr>
      </w:pPr>
    </w:p>
    <w:p w14:paraId="240E1625" w14:textId="77777777" w:rsidR="00D9589A" w:rsidRDefault="00D9589A" w:rsidP="00617C0C">
      <w:pPr>
        <w:rPr>
          <w:rFonts w:ascii="Arial" w:hAnsi="Arial" w:cs="Arial"/>
          <w:b/>
          <w:bCs/>
          <w:u w:val="single"/>
        </w:rPr>
      </w:pPr>
    </w:p>
    <w:p w14:paraId="09DE0C8D" w14:textId="77777777" w:rsidR="00A32E3F" w:rsidRDefault="00A32E3F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4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77777777" w:rsidR="00D444D1" w:rsidRPr="00D66CD5" w:rsidRDefault="00D444D1" w:rsidP="00D66CD5">
      <w:pPr>
        <w:rPr>
          <w:rFonts w:ascii="Arial" w:hAnsi="Arial" w:cs="Arial"/>
        </w:rPr>
      </w:pPr>
    </w:p>
    <w:p w14:paraId="618D3891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4BB0D7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87A8A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B832D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D75469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2ECE9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4612C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5A3D8A5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E0C60C8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1C7843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E355BAC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44CEAC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1B7CBE9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E8EA273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2E1B370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A98855F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FE2428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43F1B0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159BBD90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bookmarkEnd w:id="0"/>
    </w:tbl>
    <w:p w14:paraId="25FE733D" w14:textId="77777777" w:rsidR="00BF50D3" w:rsidRDefault="00BF50D3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6A099FD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2010AC5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BC03EA7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CFC8764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46162C2" w14:textId="09304CBC" w:rsidR="0064475B" w:rsidRPr="004C632A" w:rsidRDefault="00CC70DD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4A9CDCF6" w14:textId="01DA1539" w:rsidR="007E3327" w:rsidRDefault="00173AE0" w:rsidP="00BB7C98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178834979"/>
      <w:r>
        <w:rPr>
          <w:rFonts w:ascii="Arial" w:hAnsi="Arial" w:cs="Arial"/>
        </w:rPr>
        <w:t>None</w:t>
      </w:r>
    </w:p>
    <w:bookmarkEnd w:id="1"/>
    <w:p w14:paraId="2B550A53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B5BD601" w14:textId="77777777" w:rsidR="00835F54" w:rsidRDefault="00835F54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E5E8345" w14:textId="7ADEBDDD" w:rsidR="00D011C7" w:rsidRDefault="00D011C7" w:rsidP="007A1FB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D925CAF" w14:textId="77777777" w:rsidR="00D011C7" w:rsidRDefault="00D011C7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5888966D" w14:textId="210094F0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will be invalidated mid-November.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Authoring Team understands that these concepts are now </w:t>
      </w:r>
      <w:r w:rsidR="00A3298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sugar</w:t>
      </w:r>
      <w:r w:rsidR="00A3298F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and so invalidations and re-authoring has now been completed as necessary.</w:t>
      </w:r>
    </w:p>
    <w:p w14:paraId="46E40E8A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A1FB8" w:rsidRPr="007A1FB8" w14:paraId="01EE1EB7" w14:textId="77777777" w:rsidTr="00371167">
        <w:tc>
          <w:tcPr>
            <w:tcW w:w="4814" w:type="dxa"/>
          </w:tcPr>
          <w:p w14:paraId="6042246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647BF18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52E37340" w14:textId="77777777" w:rsidTr="00371167">
        <w:trPr>
          <w:trHeight w:val="745"/>
        </w:trPr>
        <w:tc>
          <w:tcPr>
            <w:tcW w:w="4814" w:type="dxa"/>
            <w:noWrap/>
            <w:hideMark/>
          </w:tcPr>
          <w:p w14:paraId="271D1551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(not to be invalidated)</w:t>
            </w:r>
          </w:p>
        </w:tc>
        <w:tc>
          <w:tcPr>
            <w:tcW w:w="4815" w:type="dxa"/>
            <w:noWrap/>
            <w:hideMark/>
          </w:tcPr>
          <w:p w14:paraId="21C79F2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231FDD5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A1868A3" w14:textId="77777777" w:rsidTr="00371167">
        <w:trPr>
          <w:trHeight w:val="560"/>
        </w:trPr>
        <w:tc>
          <w:tcPr>
            <w:tcW w:w="4814" w:type="dxa"/>
            <w:hideMark/>
          </w:tcPr>
          <w:p w14:paraId="7AC931C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36565811000001104</w:t>
            </w:r>
          </w:p>
          <w:p w14:paraId="13883DE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6CBB4B7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84BD75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7322211000001104</w:t>
            </w:r>
          </w:p>
          <w:p w14:paraId="4090479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37520B4A" w14:textId="77777777" w:rsidTr="00371167">
        <w:trPr>
          <w:trHeight w:val="405"/>
        </w:trPr>
        <w:tc>
          <w:tcPr>
            <w:tcW w:w="4814" w:type="dxa"/>
            <w:hideMark/>
          </w:tcPr>
          <w:p w14:paraId="1573392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15" w:type="dxa"/>
            <w:hideMark/>
          </w:tcPr>
          <w:p w14:paraId="0064D52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6B546554" w14:textId="77777777" w:rsidTr="00371167">
        <w:trPr>
          <w:trHeight w:val="501"/>
        </w:trPr>
        <w:tc>
          <w:tcPr>
            <w:tcW w:w="4814" w:type="dxa"/>
            <w:hideMark/>
          </w:tcPr>
          <w:p w14:paraId="6187F2B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1019711000001109</w:t>
            </w:r>
          </w:p>
        </w:tc>
        <w:tc>
          <w:tcPr>
            <w:tcW w:w="4815" w:type="dxa"/>
            <w:hideMark/>
          </w:tcPr>
          <w:p w14:paraId="37776718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ABACCE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7320011000001105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404D0DA8" w14:textId="77777777" w:rsidTr="00371167">
        <w:trPr>
          <w:trHeight w:val="778"/>
        </w:trPr>
        <w:tc>
          <w:tcPr>
            <w:tcW w:w="4814" w:type="dxa"/>
            <w:hideMark/>
          </w:tcPr>
          <w:p w14:paraId="1FC0416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Co-amoxiclav 125mg/31mg/5ml oral suspension sugar free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D9ABA75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829311000001103</w:t>
            </w:r>
          </w:p>
          <w:p w14:paraId="23EFD56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(Alliance Healthcare (Distribution) Ltd)</w:t>
            </w:r>
          </w:p>
          <w:p w14:paraId="42DA7B0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370711000001105</w:t>
            </w:r>
          </w:p>
          <w:p w14:paraId="52AF891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(Almus Pharmaceuticals Ltd)</w:t>
            </w:r>
          </w:p>
          <w:p w14:paraId="332C5D9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9787711000001107</w:t>
            </w:r>
          </w:p>
          <w:p w14:paraId="480EBF2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78C7DA1C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22602311000001108</w:t>
            </w:r>
          </w:p>
          <w:p w14:paraId="2607650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04BC676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38850811000001105</w:t>
            </w:r>
          </w:p>
          <w:p w14:paraId="4AD6F54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(Phoenix Healthcare Distribution Ltd)</w:t>
            </w:r>
          </w:p>
          <w:p w14:paraId="338C034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17885411000001101</w:t>
            </w:r>
          </w:p>
          <w:p w14:paraId="1D67736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24C2BC0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6032711000001109</w:t>
            </w:r>
          </w:p>
          <w:p w14:paraId="5DB49702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Augmentin 125/31 SF oral suspension (GlaxoSmithKline UK Ltd)</w:t>
            </w:r>
          </w:p>
          <w:p w14:paraId="74121D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932211000001108</w:t>
            </w:r>
          </w:p>
        </w:tc>
        <w:tc>
          <w:tcPr>
            <w:tcW w:w="4815" w:type="dxa"/>
            <w:hideMark/>
          </w:tcPr>
          <w:p w14:paraId="7605F8F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Co-amoxiclav 125mg/31mg/5ml oral suspension (A 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E2D87D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13613111000001106</w:t>
            </w:r>
          </w:p>
          <w:p w14:paraId="13C0B75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(Alliance Healthcare (Distribution) Ltd)</w:t>
            </w:r>
          </w:p>
          <w:p w14:paraId="634670F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43645711000001100</w:t>
            </w:r>
          </w:p>
          <w:p w14:paraId="20680D25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125mg/31m/5ml oral suspension (Almus Pharmaceuticals Ltd)</w:t>
            </w:r>
          </w:p>
          <w:p w14:paraId="52CD0960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43646111000001107</w:t>
            </w:r>
          </w:p>
          <w:p w14:paraId="1EED85E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193713E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43646511000001103</w:t>
            </w:r>
          </w:p>
          <w:p w14:paraId="7103AA6F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34AE4788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38848811000001105</w:t>
            </w:r>
          </w:p>
          <w:p w14:paraId="1CFAF2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(Phoenix Healthcare Distribution Ltd)</w:t>
            </w:r>
          </w:p>
          <w:p w14:paraId="6240122E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43647511000001101</w:t>
            </w:r>
          </w:p>
          <w:p w14:paraId="4F066B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44611E1D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43647811000001103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Augmentin 125/31 oral suspension (GlaxoSmithKline UK Ltd)</w:t>
            </w:r>
          </w:p>
          <w:p w14:paraId="5CCD053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43646911000001105</w:t>
            </w:r>
          </w:p>
        </w:tc>
      </w:tr>
      <w:tr w:rsidR="007A1FB8" w:rsidRPr="007A1FB8" w14:paraId="03BC769D" w14:textId="77777777" w:rsidTr="00371167">
        <w:trPr>
          <w:trHeight w:val="525"/>
        </w:trPr>
        <w:tc>
          <w:tcPr>
            <w:tcW w:w="4814" w:type="dxa"/>
            <w:hideMark/>
          </w:tcPr>
          <w:p w14:paraId="6711AC3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15" w:type="dxa"/>
            <w:hideMark/>
          </w:tcPr>
          <w:p w14:paraId="2C09819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5BFFBFB2" w14:textId="77777777" w:rsidTr="00371167">
        <w:trPr>
          <w:trHeight w:val="593"/>
        </w:trPr>
        <w:tc>
          <w:tcPr>
            <w:tcW w:w="4814" w:type="dxa"/>
            <w:hideMark/>
          </w:tcPr>
          <w:p w14:paraId="701F1D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1476711000001102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74C8421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1478111000001104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(Alliance Healthcare (Distribution) Ltd)</w:t>
            </w:r>
          </w:p>
          <w:p w14:paraId="419BE10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9787811000001104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14152C81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22602411000001101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0B590B9C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38851011000001108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721F22B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17885511000001102 (Phoenix Healthcare Distribution Ltd)</w:t>
            </w:r>
          </w:p>
          <w:p w14:paraId="2F844F9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6067511000001107 (Sandoz Ltd)</w:t>
            </w:r>
          </w:p>
          <w:p w14:paraId="01EDAD1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1478011000001100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</w:tc>
        <w:tc>
          <w:tcPr>
            <w:tcW w:w="4815" w:type="dxa"/>
            <w:hideMark/>
          </w:tcPr>
          <w:p w14:paraId="1617354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3630B4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13613211000001100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9B3AB2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43645911000001103 (Alliance Healthcare (Distribution) Ltd)</w:t>
            </w:r>
          </w:p>
          <w:p w14:paraId="5CB90E1E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43646311000001109 (Almus Pharmaceuticals Ltd)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43646711000001108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425F7BC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38848911000001100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641C43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43647611000001102 (Phoenix Healthcare Distribution Ltd)</w:t>
            </w:r>
          </w:p>
          <w:p w14:paraId="2B63013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43647911000001108 (Sandoz Ltd)</w:t>
            </w:r>
          </w:p>
          <w:p w14:paraId="10339093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43647111000001105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  <w:p w14:paraId="253E243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895D939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5D8315D5" w14:textId="77777777" w:rsidTr="00371167">
        <w:trPr>
          <w:trHeight w:val="223"/>
        </w:trPr>
        <w:tc>
          <w:tcPr>
            <w:tcW w:w="4634" w:type="dxa"/>
          </w:tcPr>
          <w:p w14:paraId="52224C86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08DE9191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020E6F6B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08E96207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7C624B4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61EDFCF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B10484D" w14:textId="77777777" w:rsidTr="00371167">
        <w:trPr>
          <w:trHeight w:val="555"/>
        </w:trPr>
        <w:tc>
          <w:tcPr>
            <w:tcW w:w="4634" w:type="dxa"/>
            <w:hideMark/>
          </w:tcPr>
          <w:p w14:paraId="7ED50D9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37083611000001104</w:t>
            </w:r>
          </w:p>
          <w:p w14:paraId="4E787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7F85E24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E4653F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7322311000001107</w:t>
            </w:r>
          </w:p>
        </w:tc>
      </w:tr>
      <w:tr w:rsidR="007A1FB8" w:rsidRPr="007A1FB8" w14:paraId="02E6597F" w14:textId="77777777" w:rsidTr="00371167">
        <w:trPr>
          <w:trHeight w:val="401"/>
        </w:trPr>
        <w:tc>
          <w:tcPr>
            <w:tcW w:w="4634" w:type="dxa"/>
            <w:hideMark/>
          </w:tcPr>
          <w:p w14:paraId="3AB2B1CD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71" w:type="dxa"/>
            <w:hideMark/>
          </w:tcPr>
          <w:p w14:paraId="745BDAD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38DBDC62" w14:textId="77777777" w:rsidTr="00371167">
        <w:trPr>
          <w:trHeight w:val="497"/>
        </w:trPr>
        <w:tc>
          <w:tcPr>
            <w:tcW w:w="4634" w:type="dxa"/>
            <w:hideMark/>
          </w:tcPr>
          <w:p w14:paraId="5A042165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960711000001107</w:t>
            </w:r>
          </w:p>
        </w:tc>
        <w:tc>
          <w:tcPr>
            <w:tcW w:w="4871" w:type="dxa"/>
            <w:hideMark/>
          </w:tcPr>
          <w:p w14:paraId="6B820BB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7093FA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7320311000001108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12EC020" w14:textId="77777777" w:rsidTr="00371167">
        <w:trPr>
          <w:trHeight w:val="771"/>
        </w:trPr>
        <w:tc>
          <w:tcPr>
            <w:tcW w:w="4634" w:type="dxa"/>
            <w:hideMark/>
          </w:tcPr>
          <w:p w14:paraId="65A27909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50A3B84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732211000001103</w:t>
            </w:r>
          </w:p>
          <w:p w14:paraId="149A0A5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748BD88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394111000001107</w:t>
            </w:r>
          </w:p>
          <w:p w14:paraId="33FF08A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59FC3633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9787911000001109</w:t>
            </w:r>
          </w:p>
          <w:p w14:paraId="3BB8379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253884E0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17885611000001103</w:t>
            </w:r>
          </w:p>
          <w:p w14:paraId="044E5EF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4D9EF30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6034811000001107</w:t>
            </w:r>
          </w:p>
          <w:p w14:paraId="65DEAC6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2A881F11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866111000001100</w:t>
            </w:r>
          </w:p>
          <w:p w14:paraId="431CA57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3D05B63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19692311000001101</w:t>
            </w:r>
          </w:p>
        </w:tc>
        <w:tc>
          <w:tcPr>
            <w:tcW w:w="4871" w:type="dxa"/>
            <w:hideMark/>
          </w:tcPr>
          <w:p w14:paraId="1F2BC42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D10EF2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11528611000001104</w:t>
            </w:r>
          </w:p>
          <w:p w14:paraId="3DB35C9F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24F5151B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43645611000001109</w:t>
            </w:r>
          </w:p>
          <w:p w14:paraId="6937826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1191875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43646011000001106</w:t>
            </w:r>
          </w:p>
          <w:p w14:paraId="17023F7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4C48B14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43646811000001100</w:t>
            </w:r>
          </w:p>
          <w:p w14:paraId="1BC6123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18B49F0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43647211000001104</w:t>
            </w:r>
          </w:p>
          <w:p w14:paraId="644545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508DF268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43646411000001102</w:t>
            </w:r>
          </w:p>
          <w:p w14:paraId="7099585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45DF1CA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43647411000001100</w:t>
            </w:r>
          </w:p>
          <w:p w14:paraId="1B5A45A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17BED63" w14:textId="77777777" w:rsidTr="00371167">
        <w:trPr>
          <w:trHeight w:val="520"/>
        </w:trPr>
        <w:tc>
          <w:tcPr>
            <w:tcW w:w="4634" w:type="dxa"/>
            <w:hideMark/>
          </w:tcPr>
          <w:p w14:paraId="298D8F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71" w:type="dxa"/>
            <w:hideMark/>
          </w:tcPr>
          <w:p w14:paraId="36B8901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23B41F7E" w14:textId="77777777" w:rsidTr="00371167">
        <w:trPr>
          <w:trHeight w:val="2689"/>
        </w:trPr>
        <w:tc>
          <w:tcPr>
            <w:tcW w:w="4634" w:type="dxa"/>
            <w:hideMark/>
          </w:tcPr>
          <w:p w14:paraId="6A4EC98D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1471011000001106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B97173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1474111000001105 (Alliance Healthcare (Distribution) Ltd)</w:t>
            </w:r>
          </w:p>
          <w:p w14:paraId="1E626F8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9788011000001106 (Almus Pharmaceuticals Ltd)</w:t>
            </w:r>
          </w:p>
          <w:p w14:paraId="415D39B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17885711000001107 (Phoenix Healthcare Distribution Ltd)</w:t>
            </w:r>
          </w:p>
          <w:p w14:paraId="307C6A7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6035211000001107 (Sandoz Ltd)</w:t>
            </w:r>
          </w:p>
          <w:p w14:paraId="300C2AA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1473811000001101 (GlaxoSmithKline UK Ltd)</w:t>
            </w:r>
          </w:p>
          <w:p w14:paraId="5DCDD61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19692411000001108 (Sigma Pharmaceuticals Plc)</w:t>
            </w:r>
          </w:p>
          <w:p w14:paraId="3C9BD0E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40AA1AD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58D56E2B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11528711000001108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0EF0585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43645811000001108 (Alliance Healthcare (Distribution) Ltd)</w:t>
            </w:r>
          </w:p>
          <w:p w14:paraId="3578D61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43646211000001101</w:t>
            </w: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77BA392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43647011000001109 (Phoenix Healthcare Distribution Ltd)</w:t>
            </w:r>
          </w:p>
          <w:p w14:paraId="3E3040C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43647311000001107 (Sandoz Ltd)</w:t>
            </w:r>
          </w:p>
          <w:p w14:paraId="5C30D1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43646611000001104 (GlaxoSmithKline UK Ltd)</w:t>
            </w:r>
          </w:p>
          <w:p w14:paraId="57E7CD95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43647711000001106 (Sigma Pharmaceuticals Plc)</w:t>
            </w:r>
          </w:p>
          <w:p w14:paraId="72C6A5C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9D24BD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3A9CFF6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D82788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6EB476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66086C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F8C06E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45EDD4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9C8DFD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7FBA3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E14C0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047FE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F8EC8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273FF1F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C7B1B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416DA3DE" w14:textId="77777777" w:rsidTr="00371167">
        <w:trPr>
          <w:trHeight w:val="223"/>
        </w:trPr>
        <w:tc>
          <w:tcPr>
            <w:tcW w:w="4634" w:type="dxa"/>
          </w:tcPr>
          <w:p w14:paraId="6904A798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729E63F5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75AF123F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26344AD9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GB"/>
              </w:rPr>
              <w:t>Co-amoxiclav 400mg/57mg/5ml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3F28407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63D388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84FD8F2" w14:textId="77777777" w:rsidTr="00371167">
        <w:trPr>
          <w:trHeight w:val="416"/>
        </w:trPr>
        <w:tc>
          <w:tcPr>
            <w:tcW w:w="4634" w:type="dxa"/>
            <w:hideMark/>
          </w:tcPr>
          <w:p w14:paraId="585BEE5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37083711000001108</w:t>
            </w:r>
          </w:p>
          <w:p w14:paraId="59D3C91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2CD63B6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1B1427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12BFA513" w14:textId="77777777" w:rsidTr="00371167">
        <w:trPr>
          <w:trHeight w:val="401"/>
        </w:trPr>
        <w:tc>
          <w:tcPr>
            <w:tcW w:w="4634" w:type="dxa"/>
            <w:hideMark/>
          </w:tcPr>
          <w:p w14:paraId="2A42B69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  <w:p w14:paraId="5C62E637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35ml (not to be invalidated)</w:t>
            </w:r>
          </w:p>
          <w:p w14:paraId="5926AA6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70ml (not to be invalidated)</w:t>
            </w:r>
          </w:p>
        </w:tc>
        <w:tc>
          <w:tcPr>
            <w:tcW w:w="4871" w:type="dxa"/>
            <w:hideMark/>
          </w:tcPr>
          <w:p w14:paraId="3B63931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35ml</w:t>
            </w:r>
          </w:p>
          <w:p w14:paraId="760E041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3BBDF81F" w14:textId="77777777" w:rsidTr="00371167">
        <w:trPr>
          <w:trHeight w:val="497"/>
        </w:trPr>
        <w:tc>
          <w:tcPr>
            <w:tcW w:w="4634" w:type="dxa"/>
            <w:hideMark/>
          </w:tcPr>
          <w:p w14:paraId="5D2C7EB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1298411000001100</w:t>
            </w:r>
          </w:p>
          <w:p w14:paraId="0F068196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1030511000001103</w:t>
            </w:r>
          </w:p>
        </w:tc>
        <w:tc>
          <w:tcPr>
            <w:tcW w:w="4871" w:type="dxa"/>
            <w:hideMark/>
          </w:tcPr>
          <w:p w14:paraId="07A60D1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08501A2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43648011000001105</w:t>
            </w:r>
          </w:p>
          <w:p w14:paraId="0407D68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43648111000001106</w:t>
            </w:r>
          </w:p>
        </w:tc>
      </w:tr>
      <w:tr w:rsidR="007A1FB8" w:rsidRPr="007A1FB8" w14:paraId="66D21BEA" w14:textId="77777777" w:rsidTr="00371167">
        <w:trPr>
          <w:trHeight w:val="771"/>
        </w:trPr>
        <w:tc>
          <w:tcPr>
            <w:tcW w:w="4634" w:type="dxa"/>
            <w:hideMark/>
          </w:tcPr>
          <w:p w14:paraId="01E4998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</w:p>
          <w:p w14:paraId="39E18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1D109EC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38850411000001108</w:t>
            </w:r>
          </w:p>
          <w:p w14:paraId="21A89C9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5C8C850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22036711000001105</w:t>
            </w:r>
          </w:p>
          <w:p w14:paraId="15D8498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25891CFA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15077811000001102</w:t>
            </w:r>
          </w:p>
          <w:p w14:paraId="18297C5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0A94B1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169511000001107</w:t>
            </w:r>
          </w:p>
          <w:p w14:paraId="056D8B0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567A721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14199011000001106</w:t>
            </w:r>
          </w:p>
          <w:p w14:paraId="3277B63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35956DD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40A3842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43648211000001100</w:t>
            </w:r>
          </w:p>
          <w:p w14:paraId="5C10DA9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0D9E2B8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43649011000001100</w:t>
            </w:r>
          </w:p>
          <w:p w14:paraId="07F8594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5D8673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43649511000001108</w:t>
            </w:r>
          </w:p>
          <w:p w14:paraId="09FB8D8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127089DF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43648511000001102</w:t>
            </w:r>
          </w:p>
          <w:p w14:paraId="0265FB1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1D5E7B5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43649311000001102</w:t>
            </w:r>
          </w:p>
          <w:p w14:paraId="4CAEBE9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E764CA1" w14:textId="77777777" w:rsidTr="00371167">
        <w:trPr>
          <w:trHeight w:val="520"/>
        </w:trPr>
        <w:tc>
          <w:tcPr>
            <w:tcW w:w="4634" w:type="dxa"/>
            <w:hideMark/>
          </w:tcPr>
          <w:p w14:paraId="2585CC4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35ml</w:t>
            </w:r>
          </w:p>
          <w:p w14:paraId="18FAABB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70ml</w:t>
            </w:r>
          </w:p>
        </w:tc>
        <w:tc>
          <w:tcPr>
            <w:tcW w:w="4871" w:type="dxa"/>
            <w:hideMark/>
          </w:tcPr>
          <w:p w14:paraId="63996E5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35ml</w:t>
            </w:r>
          </w:p>
          <w:p w14:paraId="102B76B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035B0A82" w14:textId="77777777" w:rsidTr="00371167">
        <w:trPr>
          <w:trHeight w:val="2689"/>
        </w:trPr>
        <w:tc>
          <w:tcPr>
            <w:tcW w:w="4634" w:type="dxa"/>
            <w:hideMark/>
          </w:tcPr>
          <w:p w14:paraId="4B66A9E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39847011000001103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3C90246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38850611000001106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00D28E4B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22036911000001107 (35ml) (Sandoz Ltd)</w:t>
            </w:r>
          </w:p>
          <w:p w14:paraId="28A9902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22037011000001106 (70ml) (Sandoz Ltd)</w:t>
            </w:r>
          </w:p>
          <w:p w14:paraId="0C0C689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15078011000001109 (35ml) (Sigma Pharmaceuticals Plc)</w:t>
            </w:r>
          </w:p>
          <w:p w14:paraId="531512D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15078311000001107 (70ml) (Sigma Pharmaceuticals Plc)</w:t>
            </w:r>
          </w:p>
          <w:p w14:paraId="6A811AE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1468211000001100 (35ml) (GlaxoSmithKline UK Ltd)</w:t>
            </w:r>
          </w:p>
          <w:p w14:paraId="75F2396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1468411000001101 (70ml) (GlaxoSmithKline UK Ltd)</w:t>
            </w:r>
          </w:p>
          <w:p w14:paraId="68911FAC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14199111000001107 (70ml) (Sigma Pharmaceuticals Plc)</w:t>
            </w:r>
          </w:p>
        </w:tc>
        <w:tc>
          <w:tcPr>
            <w:tcW w:w="4871" w:type="dxa"/>
            <w:hideMark/>
          </w:tcPr>
          <w:p w14:paraId="2279020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75043C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43648311000001108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45E73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43648411000001101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C3F75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43649111000001104 (35ml) (Sandoz Ltd)</w:t>
            </w:r>
          </w:p>
          <w:p w14:paraId="61F537E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43649211000001105 (70ml) (Sandoz Ltd)</w:t>
            </w:r>
          </w:p>
          <w:p w14:paraId="176E444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43649611000001107 (35ml) (Sigma Pharmaceuticals Plc)</w:t>
            </w:r>
          </w:p>
          <w:p w14:paraId="7C3F1E5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43649711000001103 (70ml) (Sigma Pharmaceuticals Plc)</w:t>
            </w:r>
          </w:p>
          <w:p w14:paraId="1C7B6CF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43648611000001103 (35ml) (GlaxoSmithKline UK Ltd)</w:t>
            </w:r>
          </w:p>
          <w:p w14:paraId="4610CBC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43648711000001107 (70ml) (GlaxoSmithKline UK Ltd)</w:t>
            </w:r>
          </w:p>
          <w:p w14:paraId="0D65542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43649411000001109 (70ml) (Sigma Pharmaceuticals Plc)</w:t>
            </w:r>
          </w:p>
        </w:tc>
      </w:tr>
    </w:tbl>
    <w:p w14:paraId="706C431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875640" w14:textId="77777777" w:rsidR="007A1FB8" w:rsidRPr="000A57A7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542A" w14:textId="77777777" w:rsidR="00E15E5F" w:rsidRDefault="00E15E5F">
      <w:r>
        <w:separator/>
      </w:r>
    </w:p>
  </w:endnote>
  <w:endnote w:type="continuationSeparator" w:id="0">
    <w:p w14:paraId="614EC745" w14:textId="77777777" w:rsidR="00E15E5F" w:rsidRDefault="00E15E5F">
      <w:r>
        <w:continuationSeparator/>
      </w:r>
    </w:p>
  </w:endnote>
  <w:endnote w:type="continuationNotice" w:id="1">
    <w:p w14:paraId="6F6123D8" w14:textId="77777777" w:rsidR="00E15E5F" w:rsidRDefault="00E15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D0A0" w14:textId="77777777" w:rsidR="00E15E5F" w:rsidRDefault="00E15E5F">
      <w:r>
        <w:separator/>
      </w:r>
    </w:p>
  </w:footnote>
  <w:footnote w:type="continuationSeparator" w:id="0">
    <w:p w14:paraId="5453BAB3" w14:textId="77777777" w:rsidR="00E15E5F" w:rsidRDefault="00E15E5F">
      <w:r>
        <w:continuationSeparator/>
      </w:r>
    </w:p>
  </w:footnote>
  <w:footnote w:type="continuationNotice" w:id="1">
    <w:p w14:paraId="2ABDFED6" w14:textId="77777777" w:rsidR="00E15E5F" w:rsidRDefault="00E15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23F2"/>
    <w:rsid w:val="000D31A2"/>
    <w:rsid w:val="000D3980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3EB4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gf2.ti/f/762498/222812389.1/XLSX/-/52%20Medicinal%20Product%20therapeutic%20role%20groupers%20-%20Active%20in%20SNOMED%20CT%20UK%20Drug%20Extension%20release%20.xls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hsengland.kahootz.com/gf2.ti/f/762498/222812357.1/XLSX/-/5%20Medicinal%20Product%20Role%20Groupers%20within%20the%20Allergy%20Archetypes%20Drug%20Groups%20simple%20reference%20se.xlsx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222812421.1/XLSX/-/178%20Medicinal%20Product%20therapeutic%20role%20groupers.xls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t_c_home/viewBlogArticle?articleID=1081753&amp;nextURL=%2Ft_c_home%2FviewBlog%3Fblogid%3D50136%26startRow%3D11" TargetMode="External"/><Relationship Id="rId20" Type="http://schemas.openxmlformats.org/officeDocument/2006/relationships/hyperlink" Target="https://nhsengland.kahootz.com/gf2.ti/f/762498/222812293.1/XLSX/-/23%20Medicinal%20Product%20therapeutic%20role%20groupers%20which%20are%20members%20of%20the%20Allergy%20Archetypes%20Drug.xls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edicinestandards@nhs.ne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108441&amp;nextURL=%2Ft_c_home%2FviewBlog%3Fblogid%3D50136" TargetMode="External"/><Relationship Id="rId23" Type="http://schemas.openxmlformats.org/officeDocument/2006/relationships/hyperlink" Target="mailto:information.standards@nhs.net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nhsengland.kahootz.com/gf2.ti/f/762498/222812325.1/XLSX/-/126%20Medicinal%20Product%20therapeutic%20role%20groupers%20-%20Inactive%20in%20SNOMED%20CT%20UK%20Drug%20Extension%20relea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2" Type="http://schemas.openxmlformats.org/officeDocument/2006/relationships/hyperlink" Target="https://nhsengland.kahootz.com/gf2.ti/f/762498/222812261.1/XLSX/-/18%20Medicinal%20Product%20Role%20Groupers%20within%20the%20Allergy%20Archetypes%20Drug%20Groups%20simple%20reference%20s.xlsx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6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14628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2024-10-03T11:14:00Z</cp:lastPrinted>
  <dcterms:created xsi:type="dcterms:W3CDTF">2024-10-24T06:40:00Z</dcterms:created>
  <dcterms:modified xsi:type="dcterms:W3CDTF">2024-10-24T06:40:00Z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