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A452" w14:textId="01CA506B" w:rsidR="0028475E" w:rsidRPr="00B7575F" w:rsidRDefault="00AE7F80" w:rsidP="00CC3046">
      <w:pPr>
        <w:pStyle w:val="Heading1"/>
        <w:rPr>
          <w:color w:val="0070C0"/>
          <w:sz w:val="48"/>
          <w:szCs w:val="48"/>
        </w:rPr>
      </w:pPr>
      <w:r w:rsidRPr="00B7575F">
        <w:rPr>
          <w:color w:val="0070C0"/>
          <w:sz w:val="48"/>
          <w:szCs w:val="48"/>
        </w:rPr>
        <w:t>Audit and Risk Management Committee</w:t>
      </w:r>
    </w:p>
    <w:p w14:paraId="5BD5CF89" w14:textId="77777777" w:rsidR="005D1138" w:rsidRDefault="005D1138" w:rsidP="00901BBA">
      <w:pPr>
        <w:pStyle w:val="BasicParagraph"/>
        <w:spacing w:line="320" w:lineRule="atLeast"/>
        <w:rPr>
          <w:rFonts w:ascii="FrutigerLT-Roman" w:hAnsi="FrutigerLT-Roman" w:cs="FrutigerLT-Roman"/>
          <w:sz w:val="18"/>
          <w:szCs w:val="18"/>
          <w:lang w:eastAsia="en-US"/>
        </w:rPr>
      </w:pPr>
    </w:p>
    <w:p w14:paraId="3487AF6F" w14:textId="570B4D9E" w:rsidR="005D1138" w:rsidRPr="00B7575F" w:rsidRDefault="00AE7F80" w:rsidP="005D1138">
      <w:pPr>
        <w:pStyle w:val="Heading3"/>
        <w:rPr>
          <w:color w:val="auto"/>
          <w:sz w:val="36"/>
          <w:szCs w:val="36"/>
        </w:rPr>
      </w:pPr>
      <w:r w:rsidRPr="00B7575F">
        <w:rPr>
          <w:color w:val="auto"/>
          <w:sz w:val="36"/>
          <w:szCs w:val="36"/>
        </w:rPr>
        <w:t>Terms of Reference</w:t>
      </w:r>
    </w:p>
    <w:p w14:paraId="67AD9A4F" w14:textId="0A05C8D5" w:rsidR="00AE7F80" w:rsidRDefault="00AE7F80" w:rsidP="00AE7F80"/>
    <w:p w14:paraId="1AF637B9" w14:textId="6878952C" w:rsidR="00AE7F80" w:rsidRDefault="00AE7F80" w:rsidP="00AE7F80">
      <w:pPr>
        <w:rPr>
          <w:rFonts w:ascii="Arial" w:hAnsi="Arial" w:cs="Arial"/>
          <w:b/>
          <w:bCs/>
        </w:rPr>
      </w:pPr>
      <w:r>
        <w:rPr>
          <w:rFonts w:ascii="Arial" w:hAnsi="Arial" w:cs="Arial"/>
          <w:b/>
          <w:bCs/>
        </w:rPr>
        <w:t>Issue Sheet</w:t>
      </w:r>
    </w:p>
    <w:tbl>
      <w:tblPr>
        <w:tblStyle w:val="TableGrid"/>
        <w:tblW w:w="0" w:type="auto"/>
        <w:tblLook w:val="04A0" w:firstRow="1" w:lastRow="0" w:firstColumn="1" w:lastColumn="0" w:noHBand="0" w:noVBand="1"/>
      </w:tblPr>
      <w:tblGrid>
        <w:gridCol w:w="3538"/>
        <w:gridCol w:w="6084"/>
      </w:tblGrid>
      <w:tr w:rsidR="00AE7F80" w14:paraId="49B5973E" w14:textId="77777777" w:rsidTr="00AE7F80">
        <w:trPr>
          <w:trHeight w:val="567"/>
        </w:trPr>
        <w:tc>
          <w:tcPr>
            <w:tcW w:w="3543" w:type="dxa"/>
            <w:vAlign w:val="center"/>
          </w:tcPr>
          <w:p w14:paraId="1A05CDEC" w14:textId="190E239D" w:rsidR="00AE7F80" w:rsidRPr="00AE7F80" w:rsidRDefault="00AE7F80" w:rsidP="00AE7F80">
            <w:pPr>
              <w:rPr>
                <w:rFonts w:ascii="Arial" w:hAnsi="Arial" w:cs="Arial"/>
              </w:rPr>
            </w:pPr>
            <w:r w:rsidRPr="00AE7F80">
              <w:rPr>
                <w:rFonts w:ascii="Arial" w:hAnsi="Arial" w:cs="Arial"/>
              </w:rPr>
              <w:t>Document reference</w:t>
            </w:r>
          </w:p>
        </w:tc>
        <w:tc>
          <w:tcPr>
            <w:tcW w:w="6094" w:type="dxa"/>
            <w:vAlign w:val="center"/>
          </w:tcPr>
          <w:p w14:paraId="6BB995D2" w14:textId="3E050F3F" w:rsidR="00AE7F80" w:rsidRPr="00AE7F80" w:rsidRDefault="00AE7F80" w:rsidP="00AE7F80">
            <w:pPr>
              <w:rPr>
                <w:rFonts w:ascii="Arial" w:hAnsi="Arial" w:cs="Arial"/>
              </w:rPr>
            </w:pPr>
            <w:r>
              <w:rPr>
                <w:rFonts w:ascii="Arial" w:hAnsi="Arial" w:cs="Arial"/>
              </w:rPr>
              <w:t>GRA 009</w:t>
            </w:r>
          </w:p>
        </w:tc>
      </w:tr>
      <w:tr w:rsidR="00AE7F80" w14:paraId="2CF7DE4D" w14:textId="77777777" w:rsidTr="00AE7F80">
        <w:trPr>
          <w:trHeight w:val="567"/>
        </w:trPr>
        <w:tc>
          <w:tcPr>
            <w:tcW w:w="3543" w:type="dxa"/>
            <w:vAlign w:val="center"/>
          </w:tcPr>
          <w:p w14:paraId="7C8DD2A2" w14:textId="4AE5EB58" w:rsidR="00AE7F80" w:rsidRPr="00AE7F80" w:rsidRDefault="00AE7F80" w:rsidP="00AE7F80">
            <w:pPr>
              <w:rPr>
                <w:rFonts w:ascii="Arial" w:hAnsi="Arial" w:cs="Arial"/>
              </w:rPr>
            </w:pPr>
            <w:r>
              <w:rPr>
                <w:rFonts w:ascii="Arial" w:hAnsi="Arial" w:cs="Arial"/>
              </w:rPr>
              <w:t>Document location</w:t>
            </w:r>
          </w:p>
        </w:tc>
        <w:tc>
          <w:tcPr>
            <w:tcW w:w="6094" w:type="dxa"/>
            <w:vAlign w:val="center"/>
          </w:tcPr>
          <w:p w14:paraId="67D68D4E" w14:textId="43CD47BE" w:rsidR="00971383" w:rsidRPr="00AE7F80" w:rsidRDefault="00AE7F80" w:rsidP="00AE7F80">
            <w:pPr>
              <w:rPr>
                <w:rFonts w:ascii="Arial" w:hAnsi="Arial" w:cs="Arial"/>
              </w:rPr>
            </w:pPr>
            <w:r>
              <w:rPr>
                <w:rFonts w:ascii="Arial" w:hAnsi="Arial" w:cs="Arial"/>
              </w:rPr>
              <w:t>Governance, Risk and Assurance (My Hub)</w:t>
            </w:r>
          </w:p>
        </w:tc>
      </w:tr>
      <w:tr w:rsidR="00AE7F80" w14:paraId="68470D9C" w14:textId="77777777" w:rsidTr="00AE7F80">
        <w:trPr>
          <w:trHeight w:val="567"/>
        </w:trPr>
        <w:tc>
          <w:tcPr>
            <w:tcW w:w="3543" w:type="dxa"/>
            <w:vAlign w:val="center"/>
          </w:tcPr>
          <w:p w14:paraId="6B7F9CE1" w14:textId="610B8197" w:rsidR="00AE7F80" w:rsidRPr="00AE7F80" w:rsidRDefault="00AE7F80" w:rsidP="00AE7F80">
            <w:pPr>
              <w:rPr>
                <w:rFonts w:ascii="Arial" w:hAnsi="Arial" w:cs="Arial"/>
              </w:rPr>
            </w:pPr>
            <w:r>
              <w:rPr>
                <w:rFonts w:ascii="Arial" w:hAnsi="Arial" w:cs="Arial"/>
              </w:rPr>
              <w:t>Title</w:t>
            </w:r>
          </w:p>
        </w:tc>
        <w:tc>
          <w:tcPr>
            <w:tcW w:w="6094" w:type="dxa"/>
            <w:vAlign w:val="center"/>
          </w:tcPr>
          <w:p w14:paraId="19B24D2A" w14:textId="562EDD10" w:rsidR="00AE7F80" w:rsidRPr="00AE7F80" w:rsidRDefault="00AE7F80" w:rsidP="00AE7F80">
            <w:pPr>
              <w:rPr>
                <w:rFonts w:ascii="Arial" w:hAnsi="Arial" w:cs="Arial"/>
              </w:rPr>
            </w:pPr>
            <w:r>
              <w:rPr>
                <w:rFonts w:ascii="Arial" w:hAnsi="Arial" w:cs="Arial"/>
              </w:rPr>
              <w:t>Audit and Risk Management Committee (ARC) Terms of Reference</w:t>
            </w:r>
          </w:p>
        </w:tc>
      </w:tr>
      <w:tr w:rsidR="00AE7F80" w14:paraId="141A6D7C" w14:textId="77777777" w:rsidTr="00AE7F80">
        <w:trPr>
          <w:trHeight w:val="567"/>
        </w:trPr>
        <w:tc>
          <w:tcPr>
            <w:tcW w:w="3543" w:type="dxa"/>
            <w:vAlign w:val="center"/>
          </w:tcPr>
          <w:p w14:paraId="08E21336" w14:textId="73628E07" w:rsidR="00AE7F80" w:rsidRPr="00AE7F80" w:rsidRDefault="00AE7F80" w:rsidP="00AE7F80">
            <w:pPr>
              <w:rPr>
                <w:rFonts w:ascii="Arial" w:hAnsi="Arial" w:cs="Arial"/>
              </w:rPr>
            </w:pPr>
            <w:r>
              <w:rPr>
                <w:rFonts w:ascii="Arial" w:hAnsi="Arial" w:cs="Arial"/>
              </w:rPr>
              <w:t>Author</w:t>
            </w:r>
          </w:p>
        </w:tc>
        <w:tc>
          <w:tcPr>
            <w:tcW w:w="6094" w:type="dxa"/>
            <w:vAlign w:val="center"/>
          </w:tcPr>
          <w:p w14:paraId="6407A38E" w14:textId="2FDC0859" w:rsidR="00AE7F80" w:rsidRPr="00AE7F80" w:rsidRDefault="00AE7F80" w:rsidP="00AE7F80">
            <w:pPr>
              <w:rPr>
                <w:rFonts w:ascii="Arial" w:hAnsi="Arial" w:cs="Arial"/>
              </w:rPr>
            </w:pPr>
            <w:r>
              <w:rPr>
                <w:rFonts w:ascii="Arial" w:hAnsi="Arial" w:cs="Arial"/>
              </w:rPr>
              <w:t>Alyx Maving</w:t>
            </w:r>
          </w:p>
        </w:tc>
      </w:tr>
      <w:tr w:rsidR="00AE7F80" w14:paraId="12054EA1" w14:textId="77777777" w:rsidTr="00AE7F80">
        <w:trPr>
          <w:trHeight w:val="567"/>
        </w:trPr>
        <w:tc>
          <w:tcPr>
            <w:tcW w:w="3543" w:type="dxa"/>
            <w:vAlign w:val="center"/>
          </w:tcPr>
          <w:p w14:paraId="6C6126B4" w14:textId="15814948" w:rsidR="00AE7F80" w:rsidRPr="00AE7F80" w:rsidRDefault="00AE7F80" w:rsidP="00AE7F80">
            <w:pPr>
              <w:rPr>
                <w:rFonts w:ascii="Arial" w:hAnsi="Arial" w:cs="Arial"/>
              </w:rPr>
            </w:pPr>
            <w:r>
              <w:rPr>
                <w:rFonts w:ascii="Arial" w:hAnsi="Arial" w:cs="Arial"/>
              </w:rPr>
              <w:t>Owner</w:t>
            </w:r>
          </w:p>
        </w:tc>
        <w:tc>
          <w:tcPr>
            <w:tcW w:w="6094" w:type="dxa"/>
            <w:vAlign w:val="center"/>
          </w:tcPr>
          <w:p w14:paraId="6616C15F" w14:textId="44C6D1EE" w:rsidR="00AE7F80" w:rsidRPr="00AE7F80" w:rsidRDefault="00AE7F80" w:rsidP="00AE7F80">
            <w:pPr>
              <w:rPr>
                <w:rFonts w:ascii="Arial" w:hAnsi="Arial" w:cs="Arial"/>
              </w:rPr>
            </w:pPr>
            <w:r>
              <w:rPr>
                <w:rFonts w:ascii="Arial" w:hAnsi="Arial" w:cs="Arial"/>
              </w:rPr>
              <w:t>Kathryn Gillatt</w:t>
            </w:r>
            <w:r w:rsidR="00FD26B6">
              <w:rPr>
                <w:rFonts w:ascii="Arial" w:hAnsi="Arial" w:cs="Arial"/>
              </w:rPr>
              <w:t xml:space="preserve"> (approved by NHSBSA Board)</w:t>
            </w:r>
          </w:p>
        </w:tc>
      </w:tr>
      <w:tr w:rsidR="00AE7F80" w14:paraId="7C15963D" w14:textId="77777777" w:rsidTr="00AE7F80">
        <w:trPr>
          <w:trHeight w:val="567"/>
        </w:trPr>
        <w:tc>
          <w:tcPr>
            <w:tcW w:w="3543" w:type="dxa"/>
            <w:vAlign w:val="center"/>
          </w:tcPr>
          <w:p w14:paraId="70A6264A" w14:textId="27EA20B0" w:rsidR="00AE7F80" w:rsidRPr="00AE7F80" w:rsidRDefault="00AE7F80" w:rsidP="00AE7F80">
            <w:pPr>
              <w:rPr>
                <w:rFonts w:ascii="Arial" w:hAnsi="Arial" w:cs="Arial"/>
              </w:rPr>
            </w:pPr>
            <w:r>
              <w:rPr>
                <w:rFonts w:ascii="Arial" w:hAnsi="Arial" w:cs="Arial"/>
              </w:rPr>
              <w:t>Issued to</w:t>
            </w:r>
          </w:p>
        </w:tc>
        <w:tc>
          <w:tcPr>
            <w:tcW w:w="6094" w:type="dxa"/>
            <w:vAlign w:val="center"/>
          </w:tcPr>
          <w:p w14:paraId="3117E0BE" w14:textId="356AAEF5" w:rsidR="00AE7F80" w:rsidRPr="00AE7F80" w:rsidRDefault="00703224" w:rsidP="00AE7F80">
            <w:pPr>
              <w:rPr>
                <w:rFonts w:ascii="Arial" w:hAnsi="Arial" w:cs="Arial"/>
              </w:rPr>
            </w:pPr>
            <w:r>
              <w:rPr>
                <w:rFonts w:ascii="Arial" w:hAnsi="Arial" w:cs="Arial"/>
              </w:rPr>
              <w:t xml:space="preserve">ARC and Board Members / </w:t>
            </w:r>
            <w:r w:rsidR="00AE7F80">
              <w:rPr>
                <w:rFonts w:ascii="Arial" w:hAnsi="Arial" w:cs="Arial"/>
              </w:rPr>
              <w:t>My Hub / NHSBSA Staff / NHSBSA Website</w:t>
            </w:r>
          </w:p>
        </w:tc>
      </w:tr>
      <w:tr w:rsidR="00AE7F80" w14:paraId="129DB476" w14:textId="77777777" w:rsidTr="00AE7F80">
        <w:trPr>
          <w:trHeight w:val="567"/>
        </w:trPr>
        <w:tc>
          <w:tcPr>
            <w:tcW w:w="3543" w:type="dxa"/>
            <w:vAlign w:val="center"/>
          </w:tcPr>
          <w:p w14:paraId="63318B5C" w14:textId="791B2E64" w:rsidR="00AE7F80" w:rsidRPr="00AE7F80" w:rsidRDefault="00AE7F80" w:rsidP="00AE7F80">
            <w:pPr>
              <w:rPr>
                <w:rFonts w:ascii="Arial" w:hAnsi="Arial" w:cs="Arial"/>
              </w:rPr>
            </w:pPr>
            <w:r>
              <w:rPr>
                <w:rFonts w:ascii="Arial" w:hAnsi="Arial" w:cs="Arial"/>
              </w:rPr>
              <w:t>Reason issued</w:t>
            </w:r>
          </w:p>
        </w:tc>
        <w:tc>
          <w:tcPr>
            <w:tcW w:w="6094" w:type="dxa"/>
            <w:vAlign w:val="center"/>
          </w:tcPr>
          <w:p w14:paraId="7EBC2328" w14:textId="6227D0E3" w:rsidR="00AE7F80" w:rsidRPr="00AE7F80" w:rsidRDefault="00427CB9" w:rsidP="00AE7F80">
            <w:pPr>
              <w:rPr>
                <w:rFonts w:ascii="Arial" w:hAnsi="Arial" w:cs="Arial"/>
              </w:rPr>
            </w:pPr>
            <w:r>
              <w:rPr>
                <w:rFonts w:ascii="Arial" w:hAnsi="Arial" w:cs="Arial"/>
              </w:rPr>
              <w:t>For action</w:t>
            </w:r>
          </w:p>
        </w:tc>
      </w:tr>
      <w:tr w:rsidR="00AE7F80" w14:paraId="27AC289C" w14:textId="77777777" w:rsidTr="00AE7F80">
        <w:trPr>
          <w:trHeight w:val="567"/>
        </w:trPr>
        <w:tc>
          <w:tcPr>
            <w:tcW w:w="3543" w:type="dxa"/>
            <w:vAlign w:val="center"/>
          </w:tcPr>
          <w:p w14:paraId="4720E151" w14:textId="29A083EE" w:rsidR="00AE7F80" w:rsidRPr="00AE7F80" w:rsidRDefault="00AE7F80" w:rsidP="00AE7F80">
            <w:pPr>
              <w:rPr>
                <w:rFonts w:ascii="Arial" w:hAnsi="Arial" w:cs="Arial"/>
              </w:rPr>
            </w:pPr>
            <w:r>
              <w:rPr>
                <w:rFonts w:ascii="Arial" w:hAnsi="Arial" w:cs="Arial"/>
              </w:rPr>
              <w:t>Last reviewed</w:t>
            </w:r>
          </w:p>
        </w:tc>
        <w:tc>
          <w:tcPr>
            <w:tcW w:w="6094" w:type="dxa"/>
            <w:vAlign w:val="center"/>
          </w:tcPr>
          <w:p w14:paraId="5370C115" w14:textId="7EA6BEBA" w:rsidR="00AE7F80" w:rsidRPr="00AE7F80" w:rsidRDefault="00D92123" w:rsidP="00AE7F80">
            <w:pPr>
              <w:rPr>
                <w:rFonts w:ascii="Arial" w:hAnsi="Arial" w:cs="Arial"/>
              </w:rPr>
            </w:pPr>
            <w:r>
              <w:rPr>
                <w:rFonts w:ascii="Arial" w:hAnsi="Arial" w:cs="Arial"/>
              </w:rPr>
              <w:t>25/04/2024</w:t>
            </w:r>
          </w:p>
        </w:tc>
      </w:tr>
      <w:tr w:rsidR="00AE7F80" w14:paraId="1B2C4768" w14:textId="77777777" w:rsidTr="00AE7F80">
        <w:trPr>
          <w:trHeight w:val="567"/>
        </w:trPr>
        <w:tc>
          <w:tcPr>
            <w:tcW w:w="3543" w:type="dxa"/>
            <w:vAlign w:val="center"/>
          </w:tcPr>
          <w:p w14:paraId="79F708A2" w14:textId="2CDE0282" w:rsidR="00AE7F80" w:rsidRPr="00AE7F80" w:rsidRDefault="00AE7F80" w:rsidP="00AE7F80">
            <w:pPr>
              <w:rPr>
                <w:rFonts w:ascii="Arial" w:hAnsi="Arial" w:cs="Arial"/>
              </w:rPr>
            </w:pPr>
            <w:r>
              <w:rPr>
                <w:rFonts w:ascii="Arial" w:hAnsi="Arial" w:cs="Arial"/>
              </w:rPr>
              <w:t>Date of Wellbeing and Inclusion Analysis</w:t>
            </w:r>
          </w:p>
        </w:tc>
        <w:tc>
          <w:tcPr>
            <w:tcW w:w="6094" w:type="dxa"/>
            <w:vAlign w:val="center"/>
          </w:tcPr>
          <w:p w14:paraId="15132983" w14:textId="601CE531" w:rsidR="00AE7F80" w:rsidRPr="00AE7F80" w:rsidRDefault="00CF130E" w:rsidP="00AE7F80">
            <w:pPr>
              <w:rPr>
                <w:rFonts w:ascii="Arial" w:hAnsi="Arial" w:cs="Arial"/>
              </w:rPr>
            </w:pPr>
            <w:r>
              <w:rPr>
                <w:rFonts w:ascii="Arial" w:hAnsi="Arial" w:cs="Arial"/>
              </w:rPr>
              <w:t>N/A</w:t>
            </w:r>
          </w:p>
        </w:tc>
      </w:tr>
      <w:tr w:rsidR="00AE7F80" w14:paraId="5E7A6A06" w14:textId="77777777" w:rsidTr="00AE7F80">
        <w:trPr>
          <w:trHeight w:val="567"/>
        </w:trPr>
        <w:tc>
          <w:tcPr>
            <w:tcW w:w="3543" w:type="dxa"/>
            <w:vAlign w:val="center"/>
          </w:tcPr>
          <w:p w14:paraId="0CBC18D5" w14:textId="1930A579" w:rsidR="00AE7F80" w:rsidRPr="00AE7F80" w:rsidRDefault="00AE7F80" w:rsidP="00AE7F80">
            <w:pPr>
              <w:rPr>
                <w:rFonts w:ascii="Arial" w:hAnsi="Arial" w:cs="Arial"/>
              </w:rPr>
            </w:pPr>
            <w:r>
              <w:rPr>
                <w:rFonts w:ascii="Arial" w:hAnsi="Arial" w:cs="Arial"/>
              </w:rPr>
              <w:t>Date of Accessibility Review</w:t>
            </w:r>
          </w:p>
        </w:tc>
        <w:tc>
          <w:tcPr>
            <w:tcW w:w="6094" w:type="dxa"/>
            <w:vAlign w:val="center"/>
          </w:tcPr>
          <w:p w14:paraId="271151C3" w14:textId="0FB31C73" w:rsidR="00AE7F80" w:rsidRPr="00AE7F80" w:rsidRDefault="00AE7F80" w:rsidP="00AE7F80">
            <w:pPr>
              <w:rPr>
                <w:rFonts w:ascii="Arial" w:hAnsi="Arial" w:cs="Arial"/>
              </w:rPr>
            </w:pPr>
            <w:r>
              <w:rPr>
                <w:rFonts w:ascii="Arial" w:hAnsi="Arial" w:cs="Arial"/>
              </w:rPr>
              <w:t>1</w:t>
            </w:r>
            <w:r w:rsidR="000C01C1">
              <w:rPr>
                <w:rFonts w:ascii="Arial" w:hAnsi="Arial" w:cs="Arial"/>
              </w:rPr>
              <w:t>4</w:t>
            </w:r>
            <w:r>
              <w:rPr>
                <w:rFonts w:ascii="Arial" w:hAnsi="Arial" w:cs="Arial"/>
              </w:rPr>
              <w:t>/09/202</w:t>
            </w:r>
            <w:r w:rsidR="000C01C1">
              <w:rPr>
                <w:rFonts w:ascii="Arial" w:hAnsi="Arial" w:cs="Arial"/>
              </w:rPr>
              <w:t>3</w:t>
            </w:r>
          </w:p>
        </w:tc>
      </w:tr>
    </w:tbl>
    <w:p w14:paraId="74FFA674" w14:textId="0EA19872" w:rsidR="00AE7F80" w:rsidRDefault="00AE7F80" w:rsidP="00AE7F80">
      <w:pPr>
        <w:rPr>
          <w:rFonts w:ascii="Arial" w:hAnsi="Arial" w:cs="Arial"/>
          <w:b/>
          <w:bCs/>
        </w:rPr>
      </w:pPr>
    </w:p>
    <w:tbl>
      <w:tblPr>
        <w:tblStyle w:val="TableGrid"/>
        <w:tblW w:w="0" w:type="auto"/>
        <w:tblLook w:val="04A0" w:firstRow="1" w:lastRow="0" w:firstColumn="1" w:lastColumn="0" w:noHBand="0" w:noVBand="1"/>
      </w:tblPr>
      <w:tblGrid>
        <w:gridCol w:w="1384"/>
        <w:gridCol w:w="1843"/>
        <w:gridCol w:w="1701"/>
        <w:gridCol w:w="1984"/>
        <w:gridCol w:w="2694"/>
      </w:tblGrid>
      <w:tr w:rsidR="00B7575F" w14:paraId="6F4CB210" w14:textId="77777777" w:rsidTr="00B7575F">
        <w:tc>
          <w:tcPr>
            <w:tcW w:w="1384" w:type="dxa"/>
          </w:tcPr>
          <w:p w14:paraId="60D0DE19" w14:textId="7CBF050B" w:rsidR="00B7575F" w:rsidRDefault="00B7575F" w:rsidP="00AE7F80">
            <w:pPr>
              <w:rPr>
                <w:rFonts w:ascii="Arial" w:hAnsi="Arial" w:cs="Arial"/>
                <w:b/>
                <w:bCs/>
              </w:rPr>
            </w:pPr>
            <w:r>
              <w:rPr>
                <w:rFonts w:ascii="Arial" w:hAnsi="Arial" w:cs="Arial"/>
                <w:b/>
                <w:bCs/>
              </w:rPr>
              <w:t>Version</w:t>
            </w:r>
          </w:p>
        </w:tc>
        <w:tc>
          <w:tcPr>
            <w:tcW w:w="1843" w:type="dxa"/>
          </w:tcPr>
          <w:p w14:paraId="47E54763" w14:textId="6F7E9A55" w:rsidR="00B7575F" w:rsidRDefault="00B7575F" w:rsidP="00AE7F80">
            <w:pPr>
              <w:rPr>
                <w:rFonts w:ascii="Arial" w:hAnsi="Arial" w:cs="Arial"/>
                <w:b/>
                <w:bCs/>
              </w:rPr>
            </w:pPr>
            <w:r>
              <w:rPr>
                <w:rFonts w:ascii="Arial" w:hAnsi="Arial" w:cs="Arial"/>
                <w:b/>
                <w:bCs/>
              </w:rPr>
              <w:t>Date</w:t>
            </w:r>
          </w:p>
        </w:tc>
        <w:tc>
          <w:tcPr>
            <w:tcW w:w="1701" w:type="dxa"/>
          </w:tcPr>
          <w:p w14:paraId="41F086CB" w14:textId="6E84AD27" w:rsidR="00B7575F" w:rsidRDefault="00B7575F" w:rsidP="00AE7F80">
            <w:pPr>
              <w:rPr>
                <w:rFonts w:ascii="Arial" w:hAnsi="Arial" w:cs="Arial"/>
                <w:b/>
                <w:bCs/>
              </w:rPr>
            </w:pPr>
            <w:r>
              <w:rPr>
                <w:rFonts w:ascii="Arial" w:hAnsi="Arial" w:cs="Arial"/>
                <w:b/>
                <w:bCs/>
              </w:rPr>
              <w:t>Amended by</w:t>
            </w:r>
          </w:p>
        </w:tc>
        <w:tc>
          <w:tcPr>
            <w:tcW w:w="1984" w:type="dxa"/>
          </w:tcPr>
          <w:p w14:paraId="436FEDD1" w14:textId="3EFB5F8F" w:rsidR="00B7575F" w:rsidRDefault="00B7575F" w:rsidP="00AE7F80">
            <w:pPr>
              <w:rPr>
                <w:rFonts w:ascii="Arial" w:hAnsi="Arial" w:cs="Arial"/>
                <w:b/>
                <w:bCs/>
              </w:rPr>
            </w:pPr>
            <w:r>
              <w:rPr>
                <w:rFonts w:ascii="Arial" w:hAnsi="Arial" w:cs="Arial"/>
                <w:b/>
                <w:bCs/>
              </w:rPr>
              <w:t>Approved by</w:t>
            </w:r>
          </w:p>
        </w:tc>
        <w:tc>
          <w:tcPr>
            <w:tcW w:w="2694" w:type="dxa"/>
          </w:tcPr>
          <w:p w14:paraId="38033D1F" w14:textId="6BA419C9" w:rsidR="00B7575F" w:rsidRDefault="00B7575F" w:rsidP="00AE7F80">
            <w:pPr>
              <w:rPr>
                <w:rFonts w:ascii="Arial" w:hAnsi="Arial" w:cs="Arial"/>
                <w:b/>
                <w:bCs/>
              </w:rPr>
            </w:pPr>
            <w:r>
              <w:rPr>
                <w:rFonts w:ascii="Arial" w:hAnsi="Arial" w:cs="Arial"/>
                <w:b/>
                <w:bCs/>
              </w:rPr>
              <w:t>Details of amendments</w:t>
            </w:r>
          </w:p>
        </w:tc>
      </w:tr>
      <w:tr w:rsidR="00B7575F" w14:paraId="5C1B8EE6" w14:textId="77777777" w:rsidTr="00B7575F">
        <w:tc>
          <w:tcPr>
            <w:tcW w:w="1384" w:type="dxa"/>
          </w:tcPr>
          <w:p w14:paraId="6C580DEA" w14:textId="117E2B89" w:rsidR="00B7575F" w:rsidRPr="00B7575F" w:rsidRDefault="00B7575F" w:rsidP="00AE7F80">
            <w:pPr>
              <w:rPr>
                <w:rFonts w:ascii="Arial" w:hAnsi="Arial" w:cs="Arial"/>
              </w:rPr>
            </w:pPr>
            <w:r w:rsidRPr="00B7575F">
              <w:rPr>
                <w:rFonts w:ascii="Arial" w:hAnsi="Arial" w:cs="Arial"/>
              </w:rPr>
              <w:t>1</w:t>
            </w:r>
          </w:p>
        </w:tc>
        <w:tc>
          <w:tcPr>
            <w:tcW w:w="1843" w:type="dxa"/>
          </w:tcPr>
          <w:p w14:paraId="091ABED3" w14:textId="66C54484" w:rsidR="00B7575F" w:rsidRPr="00B7575F" w:rsidRDefault="00B7575F" w:rsidP="00AE7F80">
            <w:pPr>
              <w:rPr>
                <w:rFonts w:ascii="Arial" w:hAnsi="Arial" w:cs="Arial"/>
              </w:rPr>
            </w:pPr>
            <w:r>
              <w:rPr>
                <w:rFonts w:ascii="Arial" w:hAnsi="Arial" w:cs="Arial"/>
              </w:rPr>
              <w:t>29/09/2022</w:t>
            </w:r>
          </w:p>
        </w:tc>
        <w:tc>
          <w:tcPr>
            <w:tcW w:w="1701" w:type="dxa"/>
          </w:tcPr>
          <w:p w14:paraId="62175F05" w14:textId="50A5EDA1" w:rsidR="00B7575F" w:rsidRPr="00B7575F" w:rsidRDefault="00B7575F" w:rsidP="00AE7F80">
            <w:pPr>
              <w:rPr>
                <w:rFonts w:ascii="Arial" w:hAnsi="Arial" w:cs="Arial"/>
              </w:rPr>
            </w:pPr>
            <w:r>
              <w:rPr>
                <w:rFonts w:ascii="Arial" w:hAnsi="Arial" w:cs="Arial"/>
              </w:rPr>
              <w:t>ARC</w:t>
            </w:r>
          </w:p>
        </w:tc>
        <w:tc>
          <w:tcPr>
            <w:tcW w:w="1984" w:type="dxa"/>
          </w:tcPr>
          <w:p w14:paraId="35A52FC3" w14:textId="396A2874" w:rsidR="00B7575F" w:rsidRPr="00B7575F" w:rsidRDefault="00B7575F" w:rsidP="00AE7F80">
            <w:pPr>
              <w:rPr>
                <w:rFonts w:ascii="Arial" w:hAnsi="Arial" w:cs="Arial"/>
              </w:rPr>
            </w:pPr>
            <w:r>
              <w:rPr>
                <w:rFonts w:ascii="Arial" w:hAnsi="Arial" w:cs="Arial"/>
              </w:rPr>
              <w:t>NHSBSA Board</w:t>
            </w:r>
          </w:p>
        </w:tc>
        <w:tc>
          <w:tcPr>
            <w:tcW w:w="2694" w:type="dxa"/>
          </w:tcPr>
          <w:p w14:paraId="1D2629BA" w14:textId="0E43FC28" w:rsidR="00B7575F" w:rsidRPr="00B7575F" w:rsidRDefault="00B7575F" w:rsidP="00AE7F80">
            <w:pPr>
              <w:rPr>
                <w:rFonts w:ascii="Arial" w:hAnsi="Arial" w:cs="Arial"/>
              </w:rPr>
            </w:pPr>
            <w:r>
              <w:rPr>
                <w:rFonts w:ascii="Arial" w:hAnsi="Arial" w:cs="Arial"/>
              </w:rPr>
              <w:t xml:space="preserve">Annual review and addition of corporate cover sheet, in line with Document Management and Control Policy. </w:t>
            </w:r>
          </w:p>
        </w:tc>
      </w:tr>
      <w:tr w:rsidR="00B7575F" w14:paraId="0E00709B" w14:textId="77777777" w:rsidTr="00B7575F">
        <w:tc>
          <w:tcPr>
            <w:tcW w:w="1384" w:type="dxa"/>
          </w:tcPr>
          <w:p w14:paraId="2845EE97" w14:textId="3500AA44" w:rsidR="00B7575F" w:rsidRPr="00B7575F" w:rsidRDefault="00E249CA" w:rsidP="00AE7F80">
            <w:pPr>
              <w:rPr>
                <w:rFonts w:ascii="Arial" w:hAnsi="Arial" w:cs="Arial"/>
              </w:rPr>
            </w:pPr>
            <w:r>
              <w:rPr>
                <w:rFonts w:ascii="Arial" w:hAnsi="Arial" w:cs="Arial"/>
              </w:rPr>
              <w:t>2</w:t>
            </w:r>
          </w:p>
        </w:tc>
        <w:tc>
          <w:tcPr>
            <w:tcW w:w="1843" w:type="dxa"/>
          </w:tcPr>
          <w:p w14:paraId="1DDED2F3" w14:textId="7A84F082" w:rsidR="00B7575F" w:rsidRPr="00B7575F" w:rsidRDefault="00E249CA" w:rsidP="00AE7F80">
            <w:pPr>
              <w:rPr>
                <w:rFonts w:ascii="Arial" w:hAnsi="Arial" w:cs="Arial"/>
              </w:rPr>
            </w:pPr>
            <w:r>
              <w:rPr>
                <w:rFonts w:ascii="Arial" w:hAnsi="Arial" w:cs="Arial"/>
              </w:rPr>
              <w:t>14/09/2023</w:t>
            </w:r>
          </w:p>
        </w:tc>
        <w:tc>
          <w:tcPr>
            <w:tcW w:w="1701" w:type="dxa"/>
          </w:tcPr>
          <w:p w14:paraId="084F81AF" w14:textId="587F97E6" w:rsidR="00B7575F" w:rsidRPr="00B7575F" w:rsidRDefault="00E249CA" w:rsidP="00AE7F80">
            <w:pPr>
              <w:rPr>
                <w:rFonts w:ascii="Arial" w:hAnsi="Arial" w:cs="Arial"/>
              </w:rPr>
            </w:pPr>
            <w:r>
              <w:rPr>
                <w:rFonts w:ascii="Arial" w:hAnsi="Arial" w:cs="Arial"/>
              </w:rPr>
              <w:t>ARC</w:t>
            </w:r>
          </w:p>
        </w:tc>
        <w:tc>
          <w:tcPr>
            <w:tcW w:w="1984" w:type="dxa"/>
          </w:tcPr>
          <w:p w14:paraId="6D2EBC09" w14:textId="439347AF" w:rsidR="00B7575F" w:rsidRPr="00B7575F" w:rsidRDefault="00E249CA" w:rsidP="00AE7F80">
            <w:pPr>
              <w:rPr>
                <w:rFonts w:ascii="Arial" w:hAnsi="Arial" w:cs="Arial"/>
              </w:rPr>
            </w:pPr>
            <w:r>
              <w:rPr>
                <w:rFonts w:ascii="Arial" w:hAnsi="Arial" w:cs="Arial"/>
              </w:rPr>
              <w:t>NHSBSA Board</w:t>
            </w:r>
          </w:p>
        </w:tc>
        <w:tc>
          <w:tcPr>
            <w:tcW w:w="2694" w:type="dxa"/>
          </w:tcPr>
          <w:p w14:paraId="34F09E94" w14:textId="3272FECD" w:rsidR="00B7575F" w:rsidRPr="00B7575F" w:rsidRDefault="00E249CA" w:rsidP="00AE7F80">
            <w:pPr>
              <w:rPr>
                <w:rFonts w:ascii="Arial" w:hAnsi="Arial" w:cs="Arial"/>
              </w:rPr>
            </w:pPr>
            <w:r>
              <w:rPr>
                <w:rFonts w:ascii="Arial" w:hAnsi="Arial" w:cs="Arial"/>
              </w:rPr>
              <w:t>Annual review</w:t>
            </w:r>
            <w:r w:rsidR="00ED678F">
              <w:rPr>
                <w:rFonts w:ascii="Arial" w:hAnsi="Arial" w:cs="Arial"/>
              </w:rPr>
              <w:t>.</w:t>
            </w:r>
          </w:p>
        </w:tc>
      </w:tr>
      <w:tr w:rsidR="00D92123" w14:paraId="13994D7B" w14:textId="77777777" w:rsidTr="00B7575F">
        <w:tc>
          <w:tcPr>
            <w:tcW w:w="1384" w:type="dxa"/>
          </w:tcPr>
          <w:p w14:paraId="135E02A5" w14:textId="1CFC0D7F" w:rsidR="00D92123" w:rsidRDefault="00D92123" w:rsidP="00AE7F80">
            <w:pPr>
              <w:rPr>
                <w:rFonts w:ascii="Arial" w:hAnsi="Arial" w:cs="Arial"/>
              </w:rPr>
            </w:pPr>
            <w:r>
              <w:rPr>
                <w:rFonts w:ascii="Arial" w:hAnsi="Arial" w:cs="Arial"/>
              </w:rPr>
              <w:t>3</w:t>
            </w:r>
          </w:p>
        </w:tc>
        <w:tc>
          <w:tcPr>
            <w:tcW w:w="1843" w:type="dxa"/>
          </w:tcPr>
          <w:p w14:paraId="18982E9D" w14:textId="0A87E263" w:rsidR="00D92123" w:rsidRDefault="007C1F87" w:rsidP="00AE7F80">
            <w:pPr>
              <w:rPr>
                <w:rFonts w:ascii="Arial" w:hAnsi="Arial" w:cs="Arial"/>
              </w:rPr>
            </w:pPr>
            <w:r>
              <w:rPr>
                <w:rFonts w:ascii="Arial" w:hAnsi="Arial" w:cs="Arial"/>
              </w:rPr>
              <w:t>17/09/2024</w:t>
            </w:r>
          </w:p>
        </w:tc>
        <w:tc>
          <w:tcPr>
            <w:tcW w:w="1701" w:type="dxa"/>
          </w:tcPr>
          <w:p w14:paraId="2140F921" w14:textId="6B475697" w:rsidR="00D92123" w:rsidRDefault="00D92123" w:rsidP="00AE7F80">
            <w:pPr>
              <w:rPr>
                <w:rFonts w:ascii="Arial" w:hAnsi="Arial" w:cs="Arial"/>
              </w:rPr>
            </w:pPr>
            <w:r>
              <w:rPr>
                <w:rFonts w:ascii="Arial" w:hAnsi="Arial" w:cs="Arial"/>
              </w:rPr>
              <w:t>ARC</w:t>
            </w:r>
          </w:p>
        </w:tc>
        <w:tc>
          <w:tcPr>
            <w:tcW w:w="1984" w:type="dxa"/>
          </w:tcPr>
          <w:p w14:paraId="54A23463" w14:textId="2B4B5717" w:rsidR="00D92123" w:rsidRDefault="00D92123" w:rsidP="00AE7F80">
            <w:pPr>
              <w:rPr>
                <w:rFonts w:ascii="Arial" w:hAnsi="Arial" w:cs="Arial"/>
              </w:rPr>
            </w:pPr>
            <w:r>
              <w:rPr>
                <w:rFonts w:ascii="Arial" w:hAnsi="Arial" w:cs="Arial"/>
              </w:rPr>
              <w:t>NHSBSA Board</w:t>
            </w:r>
          </w:p>
        </w:tc>
        <w:tc>
          <w:tcPr>
            <w:tcW w:w="2694" w:type="dxa"/>
          </w:tcPr>
          <w:p w14:paraId="45D40DEF" w14:textId="77777777" w:rsidR="00D92123" w:rsidRDefault="00B875FF" w:rsidP="00AE7F80">
            <w:pPr>
              <w:rPr>
                <w:rFonts w:ascii="Arial" w:hAnsi="Arial" w:cs="Arial"/>
              </w:rPr>
            </w:pPr>
            <w:r>
              <w:rPr>
                <w:rFonts w:ascii="Arial" w:hAnsi="Arial" w:cs="Arial"/>
              </w:rPr>
              <w:t xml:space="preserve">Annual review and addition of: </w:t>
            </w:r>
          </w:p>
          <w:p w14:paraId="00DD93B6" w14:textId="77777777" w:rsidR="00B875FF" w:rsidRDefault="00B875FF" w:rsidP="00B875FF">
            <w:pPr>
              <w:pStyle w:val="ListParagraph"/>
              <w:numPr>
                <w:ilvl w:val="0"/>
                <w:numId w:val="10"/>
              </w:numPr>
              <w:rPr>
                <w:rFonts w:ascii="Arial" w:hAnsi="Arial" w:cs="Arial"/>
              </w:rPr>
            </w:pPr>
            <w:r>
              <w:rPr>
                <w:rFonts w:ascii="Arial" w:hAnsi="Arial" w:cs="Arial"/>
              </w:rPr>
              <w:t xml:space="preserve">Adherence to external standards where applicable. </w:t>
            </w:r>
          </w:p>
          <w:p w14:paraId="3C2C4015" w14:textId="77777777" w:rsidR="001364A6" w:rsidRDefault="001364A6" w:rsidP="00B875FF">
            <w:pPr>
              <w:pStyle w:val="ListParagraph"/>
              <w:numPr>
                <w:ilvl w:val="0"/>
                <w:numId w:val="10"/>
              </w:numPr>
              <w:rPr>
                <w:rFonts w:ascii="Arial" w:hAnsi="Arial" w:cs="Arial"/>
              </w:rPr>
            </w:pPr>
            <w:r>
              <w:rPr>
                <w:rFonts w:ascii="Arial" w:hAnsi="Arial" w:cs="Arial"/>
              </w:rPr>
              <w:lastRenderedPageBreak/>
              <w:t>Facility to meet privately without the presence of non-members, if requested;</w:t>
            </w:r>
          </w:p>
          <w:p w14:paraId="481AEDF7" w14:textId="77777777" w:rsidR="00B875FF" w:rsidRDefault="001364A6" w:rsidP="00B875FF">
            <w:pPr>
              <w:pStyle w:val="ListParagraph"/>
              <w:numPr>
                <w:ilvl w:val="0"/>
                <w:numId w:val="10"/>
              </w:numPr>
              <w:rPr>
                <w:rFonts w:ascii="Arial" w:hAnsi="Arial" w:cs="Arial"/>
              </w:rPr>
            </w:pPr>
            <w:r>
              <w:rPr>
                <w:rFonts w:ascii="Arial" w:hAnsi="Arial" w:cs="Arial"/>
              </w:rPr>
              <w:t>Reports on major incidents; and</w:t>
            </w:r>
          </w:p>
          <w:p w14:paraId="6DC0AC27" w14:textId="35BF19ED" w:rsidR="001364A6" w:rsidRPr="001364A6" w:rsidRDefault="001364A6" w:rsidP="001364A6">
            <w:pPr>
              <w:pStyle w:val="ListParagraph"/>
              <w:numPr>
                <w:ilvl w:val="0"/>
                <w:numId w:val="10"/>
              </w:numPr>
              <w:rPr>
                <w:rFonts w:ascii="Arial" w:hAnsi="Arial" w:cs="Arial"/>
              </w:rPr>
            </w:pPr>
            <w:r>
              <w:rPr>
                <w:rFonts w:ascii="Arial" w:hAnsi="Arial" w:cs="Arial"/>
              </w:rPr>
              <w:t xml:space="preserve">Minor changes to reflect the work already delivered by the Committee relating to Internal Audit and external assurances. </w:t>
            </w:r>
          </w:p>
        </w:tc>
      </w:tr>
    </w:tbl>
    <w:p w14:paraId="6861FAE5" w14:textId="77777777" w:rsidR="00AE7F80" w:rsidRPr="00AE7F80" w:rsidRDefault="00AE7F80" w:rsidP="00AE7F80">
      <w:pPr>
        <w:rPr>
          <w:rFonts w:ascii="Arial" w:hAnsi="Arial" w:cs="Arial"/>
          <w:b/>
          <w:bCs/>
        </w:rPr>
      </w:pPr>
    </w:p>
    <w:p w14:paraId="5462080B" w14:textId="59E2D60F" w:rsidR="00B7575F" w:rsidRDefault="00B7575F">
      <w:pPr>
        <w:rPr>
          <w:rFonts w:ascii="Arial" w:hAnsi="Arial" w:cs="Arial"/>
          <w:color w:val="000000"/>
          <w:lang w:eastAsia="ja-JP"/>
        </w:rPr>
      </w:pPr>
      <w:r>
        <w:rPr>
          <w:rFonts w:ascii="Arial" w:hAnsi="Arial" w:cs="Arial"/>
        </w:rPr>
        <w:br w:type="page"/>
      </w:r>
    </w:p>
    <w:p w14:paraId="6E3AE0E0" w14:textId="583E1ACA" w:rsidR="005D1138" w:rsidRPr="00E338D7" w:rsidRDefault="00B7575F" w:rsidP="00901BBA">
      <w:pPr>
        <w:pStyle w:val="BasicParagraph"/>
        <w:spacing w:line="320" w:lineRule="atLeast"/>
        <w:rPr>
          <w:rFonts w:ascii="Arial" w:hAnsi="Arial" w:cs="Arial"/>
          <w:b/>
          <w:bCs/>
          <w:color w:val="0070C0"/>
        </w:rPr>
      </w:pPr>
      <w:r w:rsidRPr="00E338D7">
        <w:rPr>
          <w:rFonts w:ascii="Arial" w:hAnsi="Arial" w:cs="Arial"/>
          <w:b/>
          <w:bCs/>
          <w:color w:val="0070C0"/>
        </w:rPr>
        <w:lastRenderedPageBreak/>
        <w:t>Constitution</w:t>
      </w:r>
    </w:p>
    <w:p w14:paraId="6196A740" w14:textId="6B9B235B" w:rsidR="00B7575F" w:rsidRDefault="00B7575F" w:rsidP="00901BBA">
      <w:pPr>
        <w:pStyle w:val="BasicParagraph"/>
        <w:spacing w:line="320" w:lineRule="atLeast"/>
        <w:rPr>
          <w:rFonts w:ascii="Arial" w:hAnsi="Arial" w:cs="Arial"/>
        </w:rPr>
      </w:pPr>
    </w:p>
    <w:p w14:paraId="39A8437C" w14:textId="290D7E79" w:rsidR="00B7575F" w:rsidRDefault="00B7575F" w:rsidP="00901BBA">
      <w:pPr>
        <w:pStyle w:val="BasicParagraph"/>
        <w:spacing w:line="320" w:lineRule="atLeast"/>
        <w:rPr>
          <w:rFonts w:ascii="Arial" w:hAnsi="Arial" w:cs="Arial"/>
        </w:rPr>
      </w:pPr>
      <w:r>
        <w:rPr>
          <w:rFonts w:ascii="Arial" w:hAnsi="Arial" w:cs="Arial"/>
        </w:rPr>
        <w:t xml:space="preserve">The NHS Business Services Authority (NHSBSA) hereby establishes a Committee to be known as the Audit and Risk Management Committee (the Committee). It is constituted as a non-executive committee of the NHSBSA’s Board, which determines its membership and Terms of Reference. The Committee is authorised to investigate any activity within the Terms of Reference and can seek any information from employees of the NHSBSA, who must comply with any such request. The Committee is authorised to seek outside legal or other independent professional advice and secure the attendance of outsiders with relevant expertise if considered necessary. </w:t>
      </w:r>
    </w:p>
    <w:p w14:paraId="73E0BFD7" w14:textId="320F44CC" w:rsidR="00680E1A" w:rsidRDefault="00680E1A" w:rsidP="00901BBA">
      <w:pPr>
        <w:pStyle w:val="BasicParagraph"/>
        <w:spacing w:line="320" w:lineRule="atLeast"/>
        <w:rPr>
          <w:rFonts w:ascii="Arial" w:hAnsi="Arial" w:cs="Arial"/>
        </w:rPr>
      </w:pPr>
    </w:p>
    <w:p w14:paraId="10D3FB7C" w14:textId="6600BB51" w:rsidR="00680E1A" w:rsidRPr="002D72E0" w:rsidRDefault="00680E1A" w:rsidP="00901BBA">
      <w:pPr>
        <w:pStyle w:val="BasicParagraph"/>
        <w:spacing w:line="320" w:lineRule="atLeast"/>
        <w:rPr>
          <w:rFonts w:ascii="Arial" w:hAnsi="Arial" w:cs="Arial"/>
          <w:vertAlign w:val="superscript"/>
        </w:rPr>
      </w:pPr>
      <w:r>
        <w:rPr>
          <w:rFonts w:ascii="Arial" w:hAnsi="Arial" w:cs="Arial"/>
        </w:rPr>
        <w:t xml:space="preserve">The Committee will </w:t>
      </w:r>
      <w:r w:rsidR="003650F1">
        <w:rPr>
          <w:rFonts w:ascii="Arial" w:hAnsi="Arial" w:cs="Arial"/>
        </w:rPr>
        <w:t xml:space="preserve">adhere to all </w:t>
      </w:r>
      <w:r w:rsidR="009C5B30">
        <w:rPr>
          <w:rFonts w:ascii="Arial" w:hAnsi="Arial" w:cs="Arial"/>
        </w:rPr>
        <w:t xml:space="preserve">external </w:t>
      </w:r>
      <w:r w:rsidR="003650F1">
        <w:rPr>
          <w:rFonts w:ascii="Arial" w:hAnsi="Arial" w:cs="Arial"/>
        </w:rPr>
        <w:t xml:space="preserve">standards that are </w:t>
      </w:r>
      <w:r w:rsidR="009C5B30">
        <w:rPr>
          <w:rFonts w:ascii="Arial" w:hAnsi="Arial" w:cs="Arial"/>
        </w:rPr>
        <w:t>applicable to the work of the NHSBSA</w:t>
      </w:r>
      <w:r w:rsidR="003650F1">
        <w:rPr>
          <w:rFonts w:ascii="Arial" w:hAnsi="Arial" w:cs="Arial"/>
        </w:rPr>
        <w:t>.</w:t>
      </w:r>
      <w:r w:rsidR="00F36DDD">
        <w:rPr>
          <w:rFonts w:ascii="Arial" w:hAnsi="Arial" w:cs="Arial"/>
          <w:vertAlign w:val="superscript"/>
        </w:rPr>
        <w:t>1</w:t>
      </w:r>
    </w:p>
    <w:p w14:paraId="32392B3D" w14:textId="77777777" w:rsidR="00C46460" w:rsidRDefault="00C46460" w:rsidP="008A4F37">
      <w:pPr>
        <w:tabs>
          <w:tab w:val="left" w:pos="7842"/>
        </w:tabs>
        <w:spacing w:line="320" w:lineRule="exact"/>
        <w:rPr>
          <w:rFonts w:ascii="Arial" w:hAnsi="Arial" w:cs="Arial"/>
        </w:rPr>
      </w:pPr>
    </w:p>
    <w:p w14:paraId="563C9428" w14:textId="57A9305A" w:rsidR="004D1566" w:rsidRPr="00E338D7" w:rsidRDefault="00B7575F" w:rsidP="008A4F37">
      <w:pPr>
        <w:tabs>
          <w:tab w:val="left" w:pos="7842"/>
        </w:tabs>
        <w:spacing w:line="320" w:lineRule="exact"/>
        <w:rPr>
          <w:rFonts w:ascii="Arial" w:hAnsi="Arial" w:cs="Arial"/>
          <w:b/>
          <w:bCs/>
          <w:color w:val="0070C0"/>
        </w:rPr>
      </w:pPr>
      <w:r w:rsidRPr="00E338D7">
        <w:rPr>
          <w:rFonts w:ascii="Arial" w:hAnsi="Arial" w:cs="Arial"/>
          <w:b/>
          <w:bCs/>
          <w:color w:val="0070C0"/>
        </w:rPr>
        <w:t>Membership</w:t>
      </w:r>
    </w:p>
    <w:p w14:paraId="10B0D898" w14:textId="6B720846" w:rsidR="00B7575F" w:rsidRDefault="00B7575F" w:rsidP="008A4F37">
      <w:pPr>
        <w:tabs>
          <w:tab w:val="left" w:pos="7842"/>
        </w:tabs>
        <w:spacing w:line="320" w:lineRule="exact"/>
        <w:rPr>
          <w:rFonts w:ascii="Arial" w:hAnsi="Arial" w:cs="Arial"/>
        </w:rPr>
      </w:pPr>
    </w:p>
    <w:p w14:paraId="3CAAB568" w14:textId="4B1CA6FA" w:rsidR="00B7575F" w:rsidRDefault="00384729" w:rsidP="008A4F37">
      <w:pPr>
        <w:tabs>
          <w:tab w:val="left" w:pos="7842"/>
        </w:tabs>
        <w:spacing w:line="320" w:lineRule="exact"/>
        <w:rPr>
          <w:rFonts w:ascii="Arial" w:hAnsi="Arial" w:cs="Arial"/>
        </w:rPr>
      </w:pPr>
      <w:r w:rsidRPr="00384729">
        <w:rPr>
          <w:rFonts w:ascii="Arial" w:hAnsi="Arial" w:cs="Arial"/>
        </w:rPr>
        <w:t>The Committee shall consist of not less than three members. Two of these will be appointed by the Board. The third member will be appointed by the Department of Health and Social Care (DHSC) as Chair of the Committee. At least one member shall have significant relevant financial experience. The NHSBSA’s Chair shall not be one of these members, although they may be invited to attend meetings where the issues discussed are relevant to the whole Board or to the Chair directly. The Committee shall be quorate providing there are two members present.</w:t>
      </w:r>
    </w:p>
    <w:p w14:paraId="70679366" w14:textId="77777777" w:rsidR="00384729" w:rsidRPr="00384729" w:rsidRDefault="00384729" w:rsidP="008A4F37">
      <w:pPr>
        <w:tabs>
          <w:tab w:val="left" w:pos="7842"/>
        </w:tabs>
        <w:spacing w:line="320" w:lineRule="exact"/>
        <w:rPr>
          <w:rFonts w:ascii="Arial" w:hAnsi="Arial" w:cs="Arial"/>
        </w:rPr>
      </w:pPr>
    </w:p>
    <w:p w14:paraId="5F65CEE9" w14:textId="06ACB336" w:rsidR="00B7575F" w:rsidRPr="00E338D7" w:rsidRDefault="00B7575F" w:rsidP="008A4F37">
      <w:pPr>
        <w:tabs>
          <w:tab w:val="left" w:pos="7842"/>
        </w:tabs>
        <w:spacing w:line="320" w:lineRule="exact"/>
        <w:rPr>
          <w:rFonts w:ascii="Arial" w:hAnsi="Arial" w:cs="Arial"/>
          <w:b/>
          <w:bCs/>
          <w:color w:val="0070C0"/>
        </w:rPr>
      </w:pPr>
      <w:r w:rsidRPr="00E338D7">
        <w:rPr>
          <w:rFonts w:ascii="Arial" w:hAnsi="Arial" w:cs="Arial"/>
          <w:b/>
          <w:bCs/>
          <w:color w:val="0070C0"/>
        </w:rPr>
        <w:t>Attendance</w:t>
      </w:r>
    </w:p>
    <w:p w14:paraId="2A63C67B" w14:textId="50C2286F" w:rsidR="00B7575F" w:rsidRDefault="00B7575F" w:rsidP="008A4F37">
      <w:pPr>
        <w:tabs>
          <w:tab w:val="left" w:pos="7842"/>
        </w:tabs>
        <w:spacing w:line="320" w:lineRule="exact"/>
        <w:rPr>
          <w:rFonts w:ascii="Arial" w:hAnsi="Arial" w:cs="Arial"/>
          <w:b/>
          <w:bCs/>
        </w:rPr>
      </w:pPr>
    </w:p>
    <w:p w14:paraId="43961CAA" w14:textId="33DB70D0" w:rsidR="00B7575F" w:rsidRDefault="00B7575F" w:rsidP="008A4F37">
      <w:pPr>
        <w:tabs>
          <w:tab w:val="left" w:pos="7842"/>
        </w:tabs>
        <w:spacing w:line="320" w:lineRule="exact"/>
        <w:rPr>
          <w:rFonts w:ascii="Arial" w:hAnsi="Arial" w:cs="Arial"/>
        </w:rPr>
      </w:pPr>
      <w:r>
        <w:rPr>
          <w:rFonts w:ascii="Arial" w:hAnsi="Arial" w:cs="Arial"/>
        </w:rPr>
        <w:t>The Chief Executive, Executive Director of Financial and Commercial Services, Executive Director of People</w:t>
      </w:r>
      <w:r w:rsidR="00E338D7">
        <w:rPr>
          <w:rFonts w:ascii="Arial" w:hAnsi="Arial" w:cs="Arial"/>
        </w:rPr>
        <w:t xml:space="preserve"> and Corporate Services, appropriate Internal Audit service provider and External Audit representatives shall normally attend meetings. However, at least once a year, the Committee shall meet with the auditors without any other person present. Other Directors, managers or relevant staff may be invited to attend on occasion, particularly when the Committee is discussing significant matters relating to risks or operations that are the responsibility of a particular director. The Chief Executive must attend the meeting that reviews and agrees the Annual Governance Statement (AGS), to discuss the process for assurance that supports the AGS, the Annual Report and Accounts and the NHS Pension Scheme. </w:t>
      </w:r>
    </w:p>
    <w:p w14:paraId="0483ABF7" w14:textId="4A68D262" w:rsidR="00E338D7" w:rsidRDefault="00E338D7" w:rsidP="008A4F37">
      <w:pPr>
        <w:tabs>
          <w:tab w:val="left" w:pos="7842"/>
        </w:tabs>
        <w:spacing w:line="320" w:lineRule="exact"/>
        <w:rPr>
          <w:rFonts w:ascii="Arial" w:hAnsi="Arial" w:cs="Arial"/>
        </w:rPr>
      </w:pPr>
    </w:p>
    <w:p w14:paraId="21C3E6DB" w14:textId="77777777" w:rsidR="000663B9" w:rsidRDefault="00E338D7" w:rsidP="008A4F37">
      <w:pPr>
        <w:tabs>
          <w:tab w:val="left" w:pos="7842"/>
        </w:tabs>
        <w:spacing w:line="320" w:lineRule="exact"/>
        <w:rPr>
          <w:rFonts w:ascii="Arial" w:hAnsi="Arial" w:cs="Arial"/>
        </w:rPr>
      </w:pPr>
      <w:r>
        <w:rPr>
          <w:rFonts w:ascii="Arial" w:hAnsi="Arial" w:cs="Arial"/>
        </w:rPr>
        <w:t xml:space="preserve">The Internal Auditors and External Auditors shall have confidential and direct access where required, to members of the Committee on matters arising from, or relevant to, the Committee. </w:t>
      </w:r>
      <w:r w:rsidR="00B5067D">
        <w:rPr>
          <w:rFonts w:ascii="Arial" w:hAnsi="Arial" w:cs="Arial"/>
        </w:rPr>
        <w:t>The Committee members may meet privately without the presence of non-members for all or part of a meeting, as requested.</w:t>
      </w:r>
    </w:p>
    <w:p w14:paraId="7C6E3F6C" w14:textId="77777777" w:rsidR="000663B9" w:rsidRDefault="000663B9" w:rsidP="008A4F37">
      <w:pPr>
        <w:tabs>
          <w:tab w:val="left" w:pos="7842"/>
        </w:tabs>
        <w:spacing w:line="320" w:lineRule="exact"/>
        <w:rPr>
          <w:rFonts w:ascii="Arial" w:hAnsi="Arial" w:cs="Arial"/>
        </w:rPr>
      </w:pPr>
    </w:p>
    <w:p w14:paraId="5B534FA7" w14:textId="021BB7FE" w:rsidR="00B5067D" w:rsidRDefault="00B5067D" w:rsidP="008A4F37">
      <w:pPr>
        <w:tabs>
          <w:tab w:val="left" w:pos="7842"/>
        </w:tabs>
        <w:spacing w:line="320" w:lineRule="exact"/>
        <w:rPr>
          <w:rFonts w:ascii="Arial" w:hAnsi="Arial" w:cs="Arial"/>
        </w:rPr>
      </w:pPr>
      <w:r>
        <w:rPr>
          <w:rFonts w:ascii="Arial" w:hAnsi="Arial" w:cs="Arial"/>
        </w:rPr>
        <w:t xml:space="preserve"> </w:t>
      </w:r>
    </w:p>
    <w:p w14:paraId="22F55094" w14:textId="77777777" w:rsidR="000663B9" w:rsidRPr="009B5483" w:rsidRDefault="000663B9" w:rsidP="000663B9">
      <w:pPr>
        <w:pStyle w:val="ListParagraph"/>
        <w:numPr>
          <w:ilvl w:val="0"/>
          <w:numId w:val="9"/>
        </w:numPr>
        <w:tabs>
          <w:tab w:val="left" w:pos="7842"/>
        </w:tabs>
        <w:spacing w:line="320" w:lineRule="exact"/>
        <w:rPr>
          <w:rFonts w:ascii="Arial" w:hAnsi="Arial" w:cs="Arial"/>
          <w:vertAlign w:val="superscript"/>
        </w:rPr>
      </w:pPr>
      <w:r w:rsidRPr="009B5483">
        <w:rPr>
          <w:rFonts w:ascii="Arial" w:hAnsi="Arial" w:cs="Arial"/>
          <w:vertAlign w:val="superscript"/>
        </w:rPr>
        <w:t xml:space="preserve">Appropriate standards include, but are not limited to: </w:t>
      </w:r>
      <w:r w:rsidRPr="009B5483">
        <w:rPr>
          <w:rFonts w:ascii="Arial" w:hAnsi="Arial" w:cs="Arial"/>
          <w:i/>
          <w:iCs/>
          <w:vertAlign w:val="superscript"/>
        </w:rPr>
        <w:t>HM Treasury Audit Committee Handbook</w:t>
      </w:r>
      <w:r w:rsidRPr="009B5483">
        <w:rPr>
          <w:rFonts w:ascii="Arial" w:hAnsi="Arial" w:cs="Arial"/>
          <w:vertAlign w:val="superscript"/>
        </w:rPr>
        <w:t xml:space="preserve">; </w:t>
      </w:r>
      <w:r w:rsidRPr="009B5483">
        <w:rPr>
          <w:rFonts w:ascii="Arial" w:hAnsi="Arial" w:cs="Arial"/>
          <w:i/>
          <w:iCs/>
          <w:vertAlign w:val="superscript"/>
        </w:rPr>
        <w:t>Audit Committees and the External Audit: Minimum Standard</w:t>
      </w:r>
      <w:r w:rsidRPr="009B5483">
        <w:rPr>
          <w:rFonts w:ascii="Arial" w:hAnsi="Arial" w:cs="Arial"/>
          <w:vertAlign w:val="superscript"/>
        </w:rPr>
        <w:t xml:space="preserve">. </w:t>
      </w:r>
    </w:p>
    <w:p w14:paraId="1AF1115C" w14:textId="77777777" w:rsidR="000663B9" w:rsidRDefault="000663B9" w:rsidP="008A4F37">
      <w:pPr>
        <w:tabs>
          <w:tab w:val="left" w:pos="7842"/>
        </w:tabs>
        <w:spacing w:line="320" w:lineRule="exact"/>
        <w:rPr>
          <w:rFonts w:ascii="Arial" w:hAnsi="Arial" w:cs="Arial"/>
        </w:rPr>
      </w:pPr>
    </w:p>
    <w:p w14:paraId="04C9A725" w14:textId="5FA287DC" w:rsidR="00E338D7" w:rsidRPr="009B5483" w:rsidRDefault="00E338D7" w:rsidP="009B5483">
      <w:pPr>
        <w:tabs>
          <w:tab w:val="left" w:pos="7842"/>
        </w:tabs>
        <w:spacing w:line="320" w:lineRule="exact"/>
        <w:rPr>
          <w:rFonts w:ascii="Arial" w:hAnsi="Arial" w:cs="Arial"/>
          <w:b/>
          <w:bCs/>
          <w:color w:val="0070C0"/>
        </w:rPr>
      </w:pPr>
      <w:r w:rsidRPr="009B5483">
        <w:rPr>
          <w:rFonts w:ascii="Arial" w:hAnsi="Arial" w:cs="Arial"/>
          <w:b/>
          <w:bCs/>
          <w:color w:val="0070C0"/>
        </w:rPr>
        <w:t>Frequency</w:t>
      </w:r>
    </w:p>
    <w:p w14:paraId="7942FB07" w14:textId="2F313B3B" w:rsidR="00E338D7" w:rsidRDefault="00E338D7" w:rsidP="009B5483">
      <w:pPr>
        <w:tabs>
          <w:tab w:val="left" w:pos="1200"/>
        </w:tabs>
        <w:spacing w:line="320" w:lineRule="exact"/>
        <w:rPr>
          <w:rFonts w:ascii="Arial" w:hAnsi="Arial" w:cs="Arial"/>
          <w:b/>
          <w:bCs/>
        </w:rPr>
      </w:pPr>
    </w:p>
    <w:p w14:paraId="73EBF4F4" w14:textId="614ED597" w:rsidR="00E338D7" w:rsidRDefault="00E338D7" w:rsidP="008A4F37">
      <w:pPr>
        <w:tabs>
          <w:tab w:val="left" w:pos="7842"/>
        </w:tabs>
        <w:spacing w:line="320" w:lineRule="exact"/>
        <w:rPr>
          <w:rFonts w:ascii="Arial" w:hAnsi="Arial" w:cs="Arial"/>
        </w:rPr>
      </w:pPr>
      <w:r>
        <w:rPr>
          <w:rFonts w:ascii="Arial" w:hAnsi="Arial" w:cs="Arial"/>
        </w:rPr>
        <w:t xml:space="preserve">Meetings shall be held as required and not less than four times in one financial year. The Chief Executive, Executive Director of Finance and Commercial Services, Executive Director of People and Corporate Services, Internal Audit or External Audit may request a meeting if they consider that one is necessary. </w:t>
      </w:r>
    </w:p>
    <w:p w14:paraId="2864FC11" w14:textId="4526D578" w:rsidR="00E338D7" w:rsidRDefault="00E338D7" w:rsidP="008A4F37">
      <w:pPr>
        <w:tabs>
          <w:tab w:val="left" w:pos="7842"/>
        </w:tabs>
        <w:spacing w:line="320" w:lineRule="exact"/>
        <w:rPr>
          <w:rFonts w:ascii="Arial" w:hAnsi="Arial" w:cs="Arial"/>
        </w:rPr>
      </w:pPr>
    </w:p>
    <w:p w14:paraId="7DD82665" w14:textId="24DE57F8" w:rsidR="00E338D7" w:rsidRPr="00E338D7" w:rsidRDefault="00E338D7" w:rsidP="008A4F37">
      <w:pPr>
        <w:tabs>
          <w:tab w:val="left" w:pos="7842"/>
        </w:tabs>
        <w:spacing w:line="320" w:lineRule="exact"/>
        <w:rPr>
          <w:rFonts w:ascii="Arial" w:hAnsi="Arial" w:cs="Arial"/>
          <w:b/>
          <w:bCs/>
          <w:color w:val="0070C0"/>
        </w:rPr>
      </w:pPr>
      <w:r w:rsidRPr="00E338D7">
        <w:rPr>
          <w:rFonts w:ascii="Arial" w:hAnsi="Arial" w:cs="Arial"/>
          <w:b/>
          <w:bCs/>
          <w:color w:val="0070C0"/>
        </w:rPr>
        <w:t>Duties</w:t>
      </w:r>
    </w:p>
    <w:p w14:paraId="00E18FA7" w14:textId="6850A2E0" w:rsidR="00E338D7" w:rsidRDefault="00E338D7" w:rsidP="008A4F37">
      <w:pPr>
        <w:tabs>
          <w:tab w:val="left" w:pos="7842"/>
        </w:tabs>
        <w:spacing w:line="320" w:lineRule="exact"/>
        <w:rPr>
          <w:rFonts w:ascii="Arial" w:hAnsi="Arial" w:cs="Arial"/>
        </w:rPr>
      </w:pPr>
    </w:p>
    <w:p w14:paraId="788567D4" w14:textId="67670814" w:rsidR="00E338D7" w:rsidRDefault="00E338D7" w:rsidP="008A4F37">
      <w:pPr>
        <w:tabs>
          <w:tab w:val="left" w:pos="7842"/>
        </w:tabs>
        <w:spacing w:line="320" w:lineRule="exact"/>
        <w:rPr>
          <w:rFonts w:ascii="Arial" w:hAnsi="Arial" w:cs="Arial"/>
        </w:rPr>
      </w:pPr>
      <w:r>
        <w:rPr>
          <w:rFonts w:ascii="Arial" w:hAnsi="Arial" w:cs="Arial"/>
        </w:rPr>
        <w:t xml:space="preserve">The Committee shall undertake the following duties: </w:t>
      </w:r>
    </w:p>
    <w:p w14:paraId="5D41626D" w14:textId="4B99CFFC" w:rsidR="00E338D7" w:rsidRDefault="00E338D7" w:rsidP="008A4F37">
      <w:pPr>
        <w:tabs>
          <w:tab w:val="left" w:pos="7842"/>
        </w:tabs>
        <w:spacing w:line="320" w:lineRule="exact"/>
        <w:rPr>
          <w:rFonts w:ascii="Arial" w:hAnsi="Arial" w:cs="Arial"/>
        </w:rPr>
      </w:pPr>
    </w:p>
    <w:p w14:paraId="66CCD9C0" w14:textId="4A780FAE" w:rsidR="00E338D7" w:rsidRDefault="00E338D7" w:rsidP="00E338D7">
      <w:pPr>
        <w:pStyle w:val="ListParagraph"/>
        <w:numPr>
          <w:ilvl w:val="0"/>
          <w:numId w:val="1"/>
        </w:numPr>
        <w:tabs>
          <w:tab w:val="left" w:pos="7842"/>
        </w:tabs>
        <w:spacing w:line="320" w:lineRule="exact"/>
        <w:rPr>
          <w:rFonts w:ascii="Arial" w:hAnsi="Arial" w:cs="Arial"/>
          <w:b/>
          <w:bCs/>
          <w:color w:val="0070C0"/>
        </w:rPr>
      </w:pPr>
      <w:r>
        <w:rPr>
          <w:rFonts w:ascii="Arial" w:hAnsi="Arial" w:cs="Arial"/>
          <w:b/>
          <w:bCs/>
          <w:color w:val="0070C0"/>
        </w:rPr>
        <w:t>Governance, Risk Management and Control</w:t>
      </w:r>
    </w:p>
    <w:p w14:paraId="7AFE588E" w14:textId="77777777" w:rsidR="00E338D7" w:rsidRDefault="00E338D7" w:rsidP="00E338D7">
      <w:pPr>
        <w:pStyle w:val="ListParagraph"/>
        <w:tabs>
          <w:tab w:val="left" w:pos="7842"/>
        </w:tabs>
        <w:spacing w:line="320" w:lineRule="exact"/>
        <w:rPr>
          <w:rFonts w:ascii="Arial" w:hAnsi="Arial" w:cs="Arial"/>
          <w:b/>
          <w:bCs/>
          <w:color w:val="0070C0"/>
        </w:rPr>
      </w:pPr>
    </w:p>
    <w:p w14:paraId="57375AA2" w14:textId="6E7036BD" w:rsidR="00E338D7" w:rsidRDefault="00E338D7" w:rsidP="00E338D7">
      <w:pPr>
        <w:pStyle w:val="ListParagraph"/>
        <w:numPr>
          <w:ilvl w:val="0"/>
          <w:numId w:val="2"/>
        </w:numPr>
        <w:tabs>
          <w:tab w:val="left" w:pos="7842"/>
        </w:tabs>
        <w:spacing w:line="320" w:lineRule="exact"/>
        <w:rPr>
          <w:rFonts w:ascii="Arial" w:hAnsi="Arial" w:cs="Arial"/>
        </w:rPr>
      </w:pPr>
      <w:r>
        <w:rPr>
          <w:rFonts w:ascii="Arial" w:hAnsi="Arial" w:cs="Arial"/>
        </w:rPr>
        <w:t xml:space="preserve">Provide the NHSBSA’s Board with an independent and objective review of the adequacy </w:t>
      </w:r>
      <w:r w:rsidR="000827EC">
        <w:rPr>
          <w:rFonts w:ascii="Arial" w:hAnsi="Arial" w:cs="Arial"/>
        </w:rPr>
        <w:t xml:space="preserve">and effectiveness of the NHSBSA’s Assurance Framework (the framework of governance, risk management, controls and related assurances). In particular, it will review: </w:t>
      </w:r>
    </w:p>
    <w:p w14:paraId="61F0E3C0" w14:textId="77777777" w:rsidR="000827EC" w:rsidRDefault="000827EC" w:rsidP="000827EC">
      <w:pPr>
        <w:pStyle w:val="ListParagraph"/>
        <w:tabs>
          <w:tab w:val="left" w:pos="7842"/>
        </w:tabs>
        <w:spacing w:line="320" w:lineRule="exact"/>
        <w:rPr>
          <w:rFonts w:ascii="Arial" w:hAnsi="Arial" w:cs="Arial"/>
        </w:rPr>
      </w:pPr>
    </w:p>
    <w:p w14:paraId="528382BA" w14:textId="6AC9DA52"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All risk and control related disclosure statements (in particular the A</w:t>
      </w:r>
      <w:r w:rsidR="006B6FC4">
        <w:rPr>
          <w:rFonts w:ascii="Arial" w:hAnsi="Arial" w:cs="Arial"/>
        </w:rPr>
        <w:t xml:space="preserve">nnual </w:t>
      </w:r>
      <w:r>
        <w:rPr>
          <w:rFonts w:ascii="Arial" w:hAnsi="Arial" w:cs="Arial"/>
        </w:rPr>
        <w:t>G</w:t>
      </w:r>
      <w:r w:rsidR="006B6FC4">
        <w:rPr>
          <w:rFonts w:ascii="Arial" w:hAnsi="Arial" w:cs="Arial"/>
        </w:rPr>
        <w:t xml:space="preserve">overnance </w:t>
      </w:r>
      <w:r>
        <w:rPr>
          <w:rFonts w:ascii="Arial" w:hAnsi="Arial" w:cs="Arial"/>
        </w:rPr>
        <w:t>S</w:t>
      </w:r>
      <w:r w:rsidR="006B6FC4">
        <w:rPr>
          <w:rFonts w:ascii="Arial" w:hAnsi="Arial" w:cs="Arial"/>
        </w:rPr>
        <w:t>tatement</w:t>
      </w:r>
      <w:r>
        <w:rPr>
          <w:rFonts w:ascii="Arial" w:hAnsi="Arial" w:cs="Arial"/>
        </w:rPr>
        <w:t xml:space="preserve"> together with the accompanying Internal Audit statement);</w:t>
      </w:r>
    </w:p>
    <w:p w14:paraId="1A1FECBC" w14:textId="1FDEA138"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 xml:space="preserve">The underlying assurance process that governs the management of principal risks and issues, and the achievement of business objectives; </w:t>
      </w:r>
    </w:p>
    <w:p w14:paraId="3ADB9B1D" w14:textId="1EC2D178"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 xml:space="preserve">The appropriateness of policies and procedures for ensuring compliance with law, guidance and codes of conduct, and their effectiveness; </w:t>
      </w:r>
    </w:p>
    <w:p w14:paraId="76E16CB5" w14:textId="096F9924"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Policies and procedures related to physical security, bribery and the detection and prevention of fraud;</w:t>
      </w:r>
    </w:p>
    <w:p w14:paraId="1952BBF2" w14:textId="6AB23D18"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 xml:space="preserve">Policies and procedures related to </w:t>
      </w:r>
      <w:r w:rsidR="00371A76">
        <w:rPr>
          <w:rFonts w:ascii="Arial" w:hAnsi="Arial" w:cs="Arial"/>
        </w:rPr>
        <w:t>Freedom to Speak Up (</w:t>
      </w:r>
      <w:r>
        <w:rPr>
          <w:rFonts w:ascii="Arial" w:hAnsi="Arial" w:cs="Arial"/>
        </w:rPr>
        <w:t>whistleblowing</w:t>
      </w:r>
      <w:r w:rsidR="00371A76">
        <w:rPr>
          <w:rFonts w:ascii="Arial" w:hAnsi="Arial" w:cs="Arial"/>
        </w:rPr>
        <w:t>)</w:t>
      </w:r>
      <w:r>
        <w:rPr>
          <w:rFonts w:ascii="Arial" w:hAnsi="Arial" w:cs="Arial"/>
        </w:rPr>
        <w:t>; and</w:t>
      </w:r>
    </w:p>
    <w:p w14:paraId="49A6885D" w14:textId="3D1FD05C"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Matters relating to Information Governance (including Information Security)</w:t>
      </w:r>
      <w:r w:rsidR="0069381F">
        <w:rPr>
          <w:rFonts w:ascii="Arial" w:hAnsi="Arial" w:cs="Arial"/>
        </w:rPr>
        <w:t>;</w:t>
      </w:r>
      <w:r>
        <w:rPr>
          <w:rFonts w:ascii="Arial" w:hAnsi="Arial" w:cs="Arial"/>
        </w:rPr>
        <w:t xml:space="preserve"> </w:t>
      </w:r>
      <w:r w:rsidR="0069381F">
        <w:rPr>
          <w:rFonts w:ascii="Arial" w:hAnsi="Arial" w:cs="Arial"/>
        </w:rPr>
        <w:t>and</w:t>
      </w:r>
    </w:p>
    <w:p w14:paraId="4F8EEE99" w14:textId="22B1B66D" w:rsidR="0069381F" w:rsidRDefault="0069381F" w:rsidP="000827EC">
      <w:pPr>
        <w:pStyle w:val="ListParagraph"/>
        <w:numPr>
          <w:ilvl w:val="0"/>
          <w:numId w:val="3"/>
        </w:numPr>
        <w:tabs>
          <w:tab w:val="left" w:pos="7842"/>
        </w:tabs>
        <w:spacing w:line="320" w:lineRule="exact"/>
        <w:rPr>
          <w:rFonts w:ascii="Arial" w:hAnsi="Arial" w:cs="Arial"/>
        </w:rPr>
      </w:pPr>
      <w:r>
        <w:rPr>
          <w:rFonts w:ascii="Arial" w:hAnsi="Arial" w:cs="Arial"/>
        </w:rPr>
        <w:t>Matters relating to the management of major incidents, near misses and lessons learned, as part of the</w:t>
      </w:r>
      <w:r w:rsidR="00B024F5">
        <w:rPr>
          <w:rFonts w:ascii="Arial" w:hAnsi="Arial" w:cs="Arial"/>
        </w:rPr>
        <w:t xml:space="preserve"> regular reports</w:t>
      </w:r>
      <w:r w:rsidR="00233A3E">
        <w:rPr>
          <w:rFonts w:ascii="Arial" w:hAnsi="Arial" w:cs="Arial"/>
        </w:rPr>
        <w:t xml:space="preserve"> for items 1a-f.</w:t>
      </w:r>
    </w:p>
    <w:p w14:paraId="41957087" w14:textId="235A0E02" w:rsidR="000827EC" w:rsidRDefault="000827EC" w:rsidP="000827EC">
      <w:pPr>
        <w:tabs>
          <w:tab w:val="left" w:pos="7842"/>
        </w:tabs>
        <w:spacing w:line="320" w:lineRule="exact"/>
        <w:rPr>
          <w:rFonts w:ascii="Arial" w:hAnsi="Arial" w:cs="Arial"/>
        </w:rPr>
      </w:pPr>
    </w:p>
    <w:p w14:paraId="50D81D2C" w14:textId="13EBE47D" w:rsidR="000827EC" w:rsidRDefault="000827EC" w:rsidP="000827EC">
      <w:pPr>
        <w:pStyle w:val="ListParagraph"/>
        <w:numPr>
          <w:ilvl w:val="0"/>
          <w:numId w:val="2"/>
        </w:numPr>
        <w:tabs>
          <w:tab w:val="left" w:pos="7842"/>
        </w:tabs>
        <w:spacing w:line="320" w:lineRule="exact"/>
        <w:rPr>
          <w:rFonts w:ascii="Arial" w:hAnsi="Arial" w:cs="Arial"/>
        </w:rPr>
      </w:pPr>
      <w:r>
        <w:rPr>
          <w:rFonts w:ascii="Arial" w:hAnsi="Arial" w:cs="Arial"/>
        </w:rPr>
        <w:t xml:space="preserve">Advise the Chief Executive and Board, where appropriate, on proposals for the appointment of either Internal or External Audit services or on the purchase of non-audit services from contractors who provide audit services. </w:t>
      </w:r>
    </w:p>
    <w:p w14:paraId="1A8170A6" w14:textId="77777777" w:rsidR="000827EC" w:rsidRDefault="000827EC" w:rsidP="000827EC">
      <w:pPr>
        <w:pStyle w:val="ListParagraph"/>
        <w:tabs>
          <w:tab w:val="left" w:pos="7842"/>
        </w:tabs>
        <w:spacing w:line="320" w:lineRule="exact"/>
        <w:rPr>
          <w:rFonts w:ascii="Arial" w:hAnsi="Arial" w:cs="Arial"/>
        </w:rPr>
      </w:pPr>
    </w:p>
    <w:p w14:paraId="597C5758" w14:textId="77777777" w:rsidR="00F80E6E" w:rsidRDefault="000827EC" w:rsidP="000827EC">
      <w:pPr>
        <w:pStyle w:val="ListParagraph"/>
        <w:numPr>
          <w:ilvl w:val="0"/>
          <w:numId w:val="2"/>
        </w:numPr>
        <w:tabs>
          <w:tab w:val="left" w:pos="7842"/>
        </w:tabs>
        <w:spacing w:line="320" w:lineRule="exact"/>
        <w:rPr>
          <w:rFonts w:ascii="Arial" w:hAnsi="Arial" w:cs="Arial"/>
        </w:rPr>
      </w:pPr>
      <w:r>
        <w:rPr>
          <w:rFonts w:ascii="Arial" w:hAnsi="Arial" w:cs="Arial"/>
        </w:rPr>
        <w:t xml:space="preserve">Consider other topics as </w:t>
      </w:r>
      <w:r w:rsidRPr="008C33D9">
        <w:rPr>
          <w:rFonts w:ascii="Arial" w:hAnsi="Arial" w:cs="Arial"/>
        </w:rPr>
        <w:t>requested by the Board</w:t>
      </w:r>
      <w:r w:rsidR="00F80E6E">
        <w:rPr>
          <w:rFonts w:ascii="Arial" w:hAnsi="Arial" w:cs="Arial"/>
        </w:rPr>
        <w:t>.</w:t>
      </w:r>
    </w:p>
    <w:p w14:paraId="122FB572" w14:textId="77777777" w:rsidR="00F80E6E" w:rsidRPr="0073267F" w:rsidRDefault="00F80E6E" w:rsidP="0073267F">
      <w:pPr>
        <w:pStyle w:val="ListParagraph"/>
        <w:rPr>
          <w:rFonts w:ascii="Arial" w:hAnsi="Arial" w:cs="Arial"/>
        </w:rPr>
      </w:pPr>
    </w:p>
    <w:p w14:paraId="48168D24" w14:textId="3E32B241" w:rsidR="000827EC" w:rsidRDefault="008C33D9" w:rsidP="000827EC">
      <w:pPr>
        <w:pStyle w:val="ListParagraph"/>
        <w:numPr>
          <w:ilvl w:val="0"/>
          <w:numId w:val="2"/>
        </w:numPr>
        <w:tabs>
          <w:tab w:val="left" w:pos="7842"/>
        </w:tabs>
        <w:spacing w:line="320" w:lineRule="exact"/>
        <w:rPr>
          <w:rFonts w:ascii="Arial" w:hAnsi="Arial" w:cs="Arial"/>
        </w:rPr>
      </w:pPr>
      <w:r w:rsidRPr="008C33D9">
        <w:rPr>
          <w:rFonts w:ascii="Arial" w:eastAsia="Times New Roman" w:hAnsi="Arial" w:cs="Arial"/>
        </w:rPr>
        <w:t xml:space="preserve">The </w:t>
      </w:r>
      <w:r>
        <w:rPr>
          <w:rFonts w:ascii="Arial" w:eastAsia="Times New Roman" w:hAnsi="Arial" w:cs="Arial"/>
        </w:rPr>
        <w:t>Committee</w:t>
      </w:r>
      <w:r w:rsidRPr="008C33D9">
        <w:rPr>
          <w:rFonts w:ascii="Arial" w:eastAsia="Times New Roman" w:hAnsi="Arial" w:cs="Arial"/>
        </w:rPr>
        <w:t xml:space="preserve"> may </w:t>
      </w:r>
      <w:r w:rsidRPr="008C33D9">
        <w:rPr>
          <w:rStyle w:val="ui-provider"/>
          <w:rFonts w:ascii="Arial" w:hAnsi="Arial" w:cs="Arial"/>
          <w14:ligatures w14:val="standardContextual"/>
        </w:rPr>
        <w:t>procure specialist ad-hoc advice relevant to the work of the Committee at the expense of the organisation, subject to budgets agreed by the Board.</w:t>
      </w:r>
    </w:p>
    <w:p w14:paraId="18CCE5AA" w14:textId="77777777" w:rsidR="000827EC" w:rsidRPr="000827EC" w:rsidRDefault="000827EC" w:rsidP="000827EC">
      <w:pPr>
        <w:pStyle w:val="ListParagraph"/>
        <w:rPr>
          <w:rFonts w:ascii="Arial" w:hAnsi="Arial" w:cs="Arial"/>
        </w:rPr>
      </w:pPr>
    </w:p>
    <w:p w14:paraId="356C5A31" w14:textId="1F6E1C8B" w:rsidR="000827EC" w:rsidRPr="000827EC" w:rsidRDefault="000827EC" w:rsidP="000827EC">
      <w:pPr>
        <w:pStyle w:val="ListParagraph"/>
        <w:numPr>
          <w:ilvl w:val="0"/>
          <w:numId w:val="1"/>
        </w:numPr>
        <w:tabs>
          <w:tab w:val="left" w:pos="7842"/>
        </w:tabs>
        <w:spacing w:line="320" w:lineRule="exact"/>
        <w:rPr>
          <w:rFonts w:ascii="Arial" w:hAnsi="Arial" w:cs="Arial"/>
          <w:b/>
          <w:bCs/>
          <w:color w:val="0070C0"/>
        </w:rPr>
      </w:pPr>
      <w:r w:rsidRPr="000827EC">
        <w:rPr>
          <w:rFonts w:ascii="Arial" w:hAnsi="Arial" w:cs="Arial"/>
          <w:b/>
          <w:bCs/>
          <w:color w:val="0070C0"/>
        </w:rPr>
        <w:t>Internal Audit</w:t>
      </w:r>
    </w:p>
    <w:p w14:paraId="5E49C5A7" w14:textId="36DE3230" w:rsidR="000827EC" w:rsidRDefault="000827EC" w:rsidP="000827EC">
      <w:pPr>
        <w:tabs>
          <w:tab w:val="left" w:pos="7842"/>
        </w:tabs>
        <w:spacing w:line="320" w:lineRule="exact"/>
        <w:ind w:left="360"/>
        <w:rPr>
          <w:rFonts w:ascii="Arial" w:hAnsi="Arial" w:cs="Arial"/>
          <w:b/>
          <w:bCs/>
        </w:rPr>
      </w:pPr>
    </w:p>
    <w:p w14:paraId="053831FC" w14:textId="0946A2E9" w:rsidR="000827EC" w:rsidRDefault="000827EC" w:rsidP="000827EC">
      <w:pPr>
        <w:pStyle w:val="ListParagraph"/>
        <w:numPr>
          <w:ilvl w:val="0"/>
          <w:numId w:val="4"/>
        </w:numPr>
        <w:tabs>
          <w:tab w:val="left" w:pos="7842"/>
        </w:tabs>
        <w:spacing w:line="320" w:lineRule="exact"/>
        <w:rPr>
          <w:rFonts w:ascii="Arial" w:hAnsi="Arial" w:cs="Arial"/>
        </w:rPr>
      </w:pPr>
      <w:r>
        <w:rPr>
          <w:rFonts w:ascii="Arial" w:hAnsi="Arial" w:cs="Arial"/>
        </w:rPr>
        <w:lastRenderedPageBreak/>
        <w:t xml:space="preserve">Provide assurance to the Board that an effective Internal Audit function is established at an appropriate fee that meets mandatory UK Public Sector Internal Audit Standards and provides appropriate independent assurance to the Committee. </w:t>
      </w:r>
    </w:p>
    <w:p w14:paraId="75E47BCA" w14:textId="77777777" w:rsidR="000827EC" w:rsidRDefault="000827EC" w:rsidP="000827EC">
      <w:pPr>
        <w:pStyle w:val="ListParagraph"/>
        <w:tabs>
          <w:tab w:val="left" w:pos="7842"/>
        </w:tabs>
        <w:spacing w:line="320" w:lineRule="exact"/>
        <w:rPr>
          <w:rFonts w:ascii="Arial" w:hAnsi="Arial" w:cs="Arial"/>
        </w:rPr>
      </w:pPr>
    </w:p>
    <w:p w14:paraId="4EB4CDC3" w14:textId="4BFC14CE" w:rsidR="000827EC" w:rsidRDefault="000827EC" w:rsidP="000827EC">
      <w:pPr>
        <w:pStyle w:val="ListParagraph"/>
        <w:numPr>
          <w:ilvl w:val="0"/>
          <w:numId w:val="4"/>
        </w:numPr>
        <w:tabs>
          <w:tab w:val="left" w:pos="7842"/>
        </w:tabs>
        <w:spacing w:line="320" w:lineRule="exact"/>
        <w:rPr>
          <w:rFonts w:ascii="Arial" w:hAnsi="Arial" w:cs="Arial"/>
        </w:rPr>
      </w:pPr>
      <w:r>
        <w:rPr>
          <w:rFonts w:ascii="Arial" w:hAnsi="Arial" w:cs="Arial"/>
        </w:rPr>
        <w:t xml:space="preserve">Review and approve the annual Internal Audit Plan, monitor progress to deliver the plan and ensure co-ordination between the Internal and External Auditors to optimise audit resources. </w:t>
      </w:r>
      <w:r w:rsidR="00CE56E8">
        <w:rPr>
          <w:rFonts w:ascii="Arial" w:hAnsi="Arial" w:cs="Arial"/>
        </w:rPr>
        <w:t xml:space="preserve">Review and approve any in-year changes to the Internal Audit Plan. </w:t>
      </w:r>
    </w:p>
    <w:p w14:paraId="7CF80A31" w14:textId="77777777" w:rsidR="000827EC" w:rsidRPr="000827EC" w:rsidRDefault="000827EC" w:rsidP="000827EC">
      <w:pPr>
        <w:pStyle w:val="ListParagraph"/>
        <w:rPr>
          <w:rFonts w:ascii="Arial" w:hAnsi="Arial" w:cs="Arial"/>
        </w:rPr>
      </w:pPr>
    </w:p>
    <w:p w14:paraId="3D18D6DF" w14:textId="600C903F" w:rsidR="000827EC" w:rsidRDefault="000827EC" w:rsidP="000827EC">
      <w:pPr>
        <w:pStyle w:val="ListParagraph"/>
        <w:numPr>
          <w:ilvl w:val="0"/>
          <w:numId w:val="4"/>
        </w:numPr>
        <w:tabs>
          <w:tab w:val="left" w:pos="7842"/>
        </w:tabs>
        <w:spacing w:line="320" w:lineRule="exact"/>
        <w:rPr>
          <w:rFonts w:ascii="Arial" w:hAnsi="Arial" w:cs="Arial"/>
        </w:rPr>
      </w:pPr>
      <w:r>
        <w:rPr>
          <w:rFonts w:ascii="Arial" w:hAnsi="Arial" w:cs="Arial"/>
        </w:rPr>
        <w:t xml:space="preserve">Review the outcomes and recommendations of Internal Audit reports, the status of planned audits and monitor the agreed management actions. </w:t>
      </w:r>
    </w:p>
    <w:p w14:paraId="62E3324C" w14:textId="77777777" w:rsidR="000827EC" w:rsidRPr="000827EC" w:rsidRDefault="000827EC" w:rsidP="000827EC">
      <w:pPr>
        <w:pStyle w:val="ListParagraph"/>
        <w:rPr>
          <w:rFonts w:ascii="Arial" w:hAnsi="Arial" w:cs="Arial"/>
        </w:rPr>
      </w:pPr>
    </w:p>
    <w:p w14:paraId="5D06A48A" w14:textId="339E8A5B" w:rsidR="000827EC" w:rsidRDefault="00823541" w:rsidP="000827EC">
      <w:pPr>
        <w:pStyle w:val="ListParagraph"/>
        <w:numPr>
          <w:ilvl w:val="0"/>
          <w:numId w:val="4"/>
        </w:numPr>
        <w:tabs>
          <w:tab w:val="left" w:pos="7842"/>
        </w:tabs>
        <w:spacing w:line="320" w:lineRule="exact"/>
        <w:rPr>
          <w:rFonts w:ascii="Arial" w:hAnsi="Arial" w:cs="Arial"/>
        </w:rPr>
      </w:pPr>
      <w:r>
        <w:rPr>
          <w:rFonts w:ascii="Arial" w:hAnsi="Arial" w:cs="Arial"/>
        </w:rPr>
        <w:t xml:space="preserve">Ensure that the Internal Audit function is adequately resourced and has appropriate standing within the organisation. </w:t>
      </w:r>
    </w:p>
    <w:p w14:paraId="6870B34E" w14:textId="77777777" w:rsidR="00823541" w:rsidRPr="00823541" w:rsidRDefault="00823541" w:rsidP="00823541">
      <w:pPr>
        <w:pStyle w:val="ListParagraph"/>
        <w:rPr>
          <w:rFonts w:ascii="Arial" w:hAnsi="Arial" w:cs="Arial"/>
        </w:rPr>
      </w:pPr>
    </w:p>
    <w:p w14:paraId="642E89FE" w14:textId="1BB45C76" w:rsidR="00823541" w:rsidRDefault="00823541" w:rsidP="000827EC">
      <w:pPr>
        <w:pStyle w:val="ListParagraph"/>
        <w:numPr>
          <w:ilvl w:val="0"/>
          <w:numId w:val="4"/>
        </w:numPr>
        <w:tabs>
          <w:tab w:val="left" w:pos="7842"/>
        </w:tabs>
        <w:spacing w:line="320" w:lineRule="exact"/>
        <w:rPr>
          <w:rFonts w:ascii="Arial" w:hAnsi="Arial" w:cs="Arial"/>
        </w:rPr>
      </w:pPr>
      <w:r>
        <w:rPr>
          <w:rFonts w:ascii="Arial" w:hAnsi="Arial" w:cs="Arial"/>
        </w:rPr>
        <w:t xml:space="preserve">The members will meet privately at least once a year with the Internal Auditors. </w:t>
      </w:r>
    </w:p>
    <w:p w14:paraId="08F20133" w14:textId="77777777" w:rsidR="00823541" w:rsidRPr="00823541" w:rsidRDefault="00823541" w:rsidP="00823541">
      <w:pPr>
        <w:pStyle w:val="ListParagraph"/>
        <w:rPr>
          <w:rFonts w:ascii="Arial" w:hAnsi="Arial" w:cs="Arial"/>
        </w:rPr>
      </w:pPr>
    </w:p>
    <w:p w14:paraId="714BEDE3" w14:textId="54D9D980" w:rsidR="00823541" w:rsidRPr="00823541" w:rsidRDefault="00823541" w:rsidP="00823541">
      <w:pPr>
        <w:pStyle w:val="ListParagraph"/>
        <w:numPr>
          <w:ilvl w:val="0"/>
          <w:numId w:val="1"/>
        </w:numPr>
        <w:tabs>
          <w:tab w:val="left" w:pos="7842"/>
        </w:tabs>
        <w:spacing w:line="320" w:lineRule="exact"/>
        <w:rPr>
          <w:rFonts w:ascii="Arial" w:hAnsi="Arial" w:cs="Arial"/>
          <w:b/>
          <w:bCs/>
          <w:color w:val="0070C0"/>
        </w:rPr>
      </w:pPr>
      <w:r w:rsidRPr="00823541">
        <w:rPr>
          <w:rFonts w:ascii="Arial" w:hAnsi="Arial" w:cs="Arial"/>
          <w:b/>
          <w:bCs/>
          <w:color w:val="0070C0"/>
        </w:rPr>
        <w:t>External Audit</w:t>
      </w:r>
    </w:p>
    <w:p w14:paraId="49187F52" w14:textId="42E025BA" w:rsidR="00823541" w:rsidRDefault="00823541" w:rsidP="00823541">
      <w:pPr>
        <w:tabs>
          <w:tab w:val="left" w:pos="7842"/>
        </w:tabs>
        <w:spacing w:line="320" w:lineRule="exact"/>
        <w:rPr>
          <w:rFonts w:ascii="Arial" w:hAnsi="Arial" w:cs="Arial"/>
          <w:b/>
          <w:bCs/>
        </w:rPr>
      </w:pPr>
    </w:p>
    <w:p w14:paraId="2C1436D9" w14:textId="4458784F" w:rsidR="00823541" w:rsidRDefault="00823541" w:rsidP="00823541">
      <w:pPr>
        <w:pStyle w:val="ListParagraph"/>
        <w:numPr>
          <w:ilvl w:val="0"/>
          <w:numId w:val="6"/>
        </w:numPr>
        <w:tabs>
          <w:tab w:val="left" w:pos="7842"/>
        </w:tabs>
        <w:spacing w:line="320" w:lineRule="exact"/>
        <w:rPr>
          <w:rFonts w:ascii="Arial" w:hAnsi="Arial" w:cs="Arial"/>
        </w:rPr>
      </w:pPr>
      <w:r>
        <w:rPr>
          <w:rFonts w:ascii="Arial" w:hAnsi="Arial" w:cs="Arial"/>
        </w:rPr>
        <w:t xml:space="preserve">Discuss and provide input for the External Audit planning report with the External Auditors before the commencement of the audit, and where appropriate ensure co-ordination with other External Auditors in the system. </w:t>
      </w:r>
    </w:p>
    <w:p w14:paraId="110C59DA" w14:textId="7FB0D522" w:rsidR="00823541" w:rsidRDefault="00823541" w:rsidP="00823541">
      <w:pPr>
        <w:pStyle w:val="ListParagraph"/>
        <w:tabs>
          <w:tab w:val="left" w:pos="7842"/>
        </w:tabs>
        <w:spacing w:line="320" w:lineRule="exact"/>
        <w:rPr>
          <w:rFonts w:ascii="Arial" w:hAnsi="Arial" w:cs="Arial"/>
        </w:rPr>
      </w:pPr>
    </w:p>
    <w:p w14:paraId="3DED639A" w14:textId="60A8E73D" w:rsidR="00823541" w:rsidRDefault="00823541" w:rsidP="00823541">
      <w:pPr>
        <w:pStyle w:val="ListParagraph"/>
        <w:numPr>
          <w:ilvl w:val="0"/>
          <w:numId w:val="6"/>
        </w:numPr>
        <w:tabs>
          <w:tab w:val="left" w:pos="7842"/>
        </w:tabs>
        <w:spacing w:line="320" w:lineRule="exact"/>
        <w:rPr>
          <w:rFonts w:ascii="Arial" w:hAnsi="Arial" w:cs="Arial"/>
        </w:rPr>
      </w:pPr>
      <w:r>
        <w:rPr>
          <w:rFonts w:ascii="Arial" w:hAnsi="Arial" w:cs="Arial"/>
        </w:rPr>
        <w:t xml:space="preserve">Review External Audit reports, including annual audit letters and management’s responses. </w:t>
      </w:r>
    </w:p>
    <w:p w14:paraId="2B361981" w14:textId="77777777" w:rsidR="00823541" w:rsidRPr="00823541" w:rsidRDefault="00823541" w:rsidP="00823541">
      <w:pPr>
        <w:pStyle w:val="ListParagraph"/>
        <w:rPr>
          <w:rFonts w:ascii="Arial" w:hAnsi="Arial" w:cs="Arial"/>
        </w:rPr>
      </w:pPr>
    </w:p>
    <w:p w14:paraId="4ABC0C71" w14:textId="4E0FAE2D" w:rsidR="00823541" w:rsidRDefault="00823541" w:rsidP="00823541">
      <w:pPr>
        <w:pStyle w:val="ListParagraph"/>
        <w:numPr>
          <w:ilvl w:val="0"/>
          <w:numId w:val="6"/>
        </w:numPr>
        <w:tabs>
          <w:tab w:val="left" w:pos="7842"/>
        </w:tabs>
        <w:spacing w:line="320" w:lineRule="exact"/>
        <w:rPr>
          <w:rFonts w:ascii="Arial" w:hAnsi="Arial" w:cs="Arial"/>
        </w:rPr>
      </w:pPr>
      <w:r>
        <w:rPr>
          <w:rFonts w:ascii="Arial" w:hAnsi="Arial" w:cs="Arial"/>
        </w:rPr>
        <w:t xml:space="preserve">The members will meet privately at least once a year with the External Auditors. </w:t>
      </w:r>
    </w:p>
    <w:p w14:paraId="197EEC09" w14:textId="77777777" w:rsidR="00855868" w:rsidRPr="001364A6" w:rsidRDefault="00855868" w:rsidP="001364A6">
      <w:pPr>
        <w:pStyle w:val="ListParagraph"/>
        <w:rPr>
          <w:rFonts w:ascii="Arial" w:hAnsi="Arial" w:cs="Arial"/>
        </w:rPr>
      </w:pPr>
    </w:p>
    <w:p w14:paraId="5B4FA522" w14:textId="0404D2B5" w:rsidR="00855868" w:rsidRDefault="00855868" w:rsidP="00823541">
      <w:pPr>
        <w:pStyle w:val="ListParagraph"/>
        <w:numPr>
          <w:ilvl w:val="0"/>
          <w:numId w:val="6"/>
        </w:numPr>
        <w:tabs>
          <w:tab w:val="left" w:pos="7842"/>
        </w:tabs>
        <w:spacing w:line="320" w:lineRule="exact"/>
        <w:rPr>
          <w:rFonts w:ascii="Arial" w:hAnsi="Arial" w:cs="Arial"/>
        </w:rPr>
      </w:pPr>
      <w:r>
        <w:rPr>
          <w:rFonts w:ascii="Arial" w:hAnsi="Arial" w:cs="Arial"/>
        </w:rPr>
        <w:t xml:space="preserve">Review other sources of external </w:t>
      </w:r>
      <w:r w:rsidR="00DB42A9">
        <w:rPr>
          <w:rFonts w:ascii="Arial" w:hAnsi="Arial" w:cs="Arial"/>
        </w:rPr>
        <w:t xml:space="preserve">audit and </w:t>
      </w:r>
      <w:r>
        <w:rPr>
          <w:rFonts w:ascii="Arial" w:hAnsi="Arial" w:cs="Arial"/>
        </w:rPr>
        <w:t xml:space="preserve">assurance, as appropriate. </w:t>
      </w:r>
    </w:p>
    <w:p w14:paraId="403FB5AB" w14:textId="77777777" w:rsidR="009C5B30" w:rsidRPr="000663B9" w:rsidRDefault="009C5B30" w:rsidP="000663B9">
      <w:pPr>
        <w:tabs>
          <w:tab w:val="left" w:pos="7842"/>
        </w:tabs>
        <w:spacing w:line="320" w:lineRule="exact"/>
        <w:rPr>
          <w:rFonts w:ascii="Arial" w:hAnsi="Arial" w:cs="Arial"/>
        </w:rPr>
      </w:pPr>
    </w:p>
    <w:p w14:paraId="4A99C233" w14:textId="5622E65B" w:rsidR="00823541" w:rsidRDefault="00823541" w:rsidP="00823541">
      <w:pPr>
        <w:pStyle w:val="ListParagraph"/>
        <w:numPr>
          <w:ilvl w:val="0"/>
          <w:numId w:val="1"/>
        </w:numPr>
        <w:tabs>
          <w:tab w:val="left" w:pos="7842"/>
        </w:tabs>
        <w:spacing w:line="320" w:lineRule="exact"/>
        <w:rPr>
          <w:rFonts w:ascii="Arial" w:hAnsi="Arial" w:cs="Arial"/>
          <w:b/>
          <w:bCs/>
          <w:color w:val="0070C0"/>
        </w:rPr>
      </w:pPr>
      <w:r w:rsidRPr="00823541">
        <w:rPr>
          <w:rFonts w:ascii="Arial" w:hAnsi="Arial" w:cs="Arial"/>
          <w:b/>
          <w:bCs/>
          <w:color w:val="0070C0"/>
        </w:rPr>
        <w:t>Finance</w:t>
      </w:r>
    </w:p>
    <w:p w14:paraId="13EC1F35" w14:textId="7D2591D0" w:rsidR="00823541" w:rsidRDefault="00823541" w:rsidP="00823541">
      <w:pPr>
        <w:tabs>
          <w:tab w:val="left" w:pos="7842"/>
        </w:tabs>
        <w:spacing w:line="320" w:lineRule="exact"/>
        <w:ind w:left="360"/>
        <w:rPr>
          <w:rFonts w:ascii="Arial" w:hAnsi="Arial" w:cs="Arial"/>
          <w:color w:val="0070C0"/>
        </w:rPr>
      </w:pPr>
    </w:p>
    <w:p w14:paraId="2557DC4A" w14:textId="4AA012FB" w:rsidR="00823541" w:rsidRDefault="00823541" w:rsidP="00823541">
      <w:pPr>
        <w:pStyle w:val="ListParagraph"/>
        <w:numPr>
          <w:ilvl w:val="0"/>
          <w:numId w:val="7"/>
        </w:numPr>
        <w:tabs>
          <w:tab w:val="left" w:pos="7842"/>
        </w:tabs>
        <w:spacing w:line="320" w:lineRule="exact"/>
        <w:rPr>
          <w:rFonts w:ascii="Arial" w:hAnsi="Arial" w:cs="Arial"/>
        </w:rPr>
      </w:pPr>
      <w:r>
        <w:rPr>
          <w:rFonts w:ascii="Arial" w:hAnsi="Arial" w:cs="Arial"/>
        </w:rPr>
        <w:t xml:space="preserve">Review the Annual Report (including the AGS) and Financial Statements (NHSBSA Administration ad NHS Pension Scheme) before submission to the Board, challenging assumptions and judgements made during their compilation, and focusing particularly on: </w:t>
      </w:r>
    </w:p>
    <w:p w14:paraId="7A050DAF" w14:textId="2EEADEFF" w:rsidR="00823541" w:rsidRDefault="00823541" w:rsidP="00823541">
      <w:pPr>
        <w:pStyle w:val="ListParagraph"/>
        <w:tabs>
          <w:tab w:val="left" w:pos="7842"/>
        </w:tabs>
        <w:spacing w:line="320" w:lineRule="exact"/>
        <w:rPr>
          <w:rFonts w:ascii="Arial" w:hAnsi="Arial" w:cs="Arial"/>
        </w:rPr>
      </w:pPr>
    </w:p>
    <w:p w14:paraId="0379B030" w14:textId="03FF7C97" w:rsidR="00823541" w:rsidRDefault="00823541" w:rsidP="00823541">
      <w:pPr>
        <w:pStyle w:val="ListParagraph"/>
        <w:numPr>
          <w:ilvl w:val="0"/>
          <w:numId w:val="8"/>
        </w:numPr>
        <w:tabs>
          <w:tab w:val="left" w:pos="7842"/>
        </w:tabs>
        <w:spacing w:line="320" w:lineRule="exact"/>
        <w:rPr>
          <w:rFonts w:ascii="Arial" w:hAnsi="Arial" w:cs="Arial"/>
        </w:rPr>
      </w:pPr>
      <w:r>
        <w:rPr>
          <w:rFonts w:ascii="Arial" w:hAnsi="Arial" w:cs="Arial"/>
        </w:rPr>
        <w:t>Changes in, and compliance with, accounting policies and practices;</w:t>
      </w:r>
    </w:p>
    <w:p w14:paraId="7B5B6BB8" w14:textId="604AE69D" w:rsidR="00823541" w:rsidRDefault="00823541" w:rsidP="00823541">
      <w:pPr>
        <w:pStyle w:val="ListParagraph"/>
        <w:numPr>
          <w:ilvl w:val="0"/>
          <w:numId w:val="8"/>
        </w:numPr>
        <w:tabs>
          <w:tab w:val="left" w:pos="7842"/>
        </w:tabs>
        <w:spacing w:line="320" w:lineRule="exact"/>
        <w:rPr>
          <w:rFonts w:ascii="Arial" w:hAnsi="Arial" w:cs="Arial"/>
        </w:rPr>
      </w:pPr>
      <w:r>
        <w:rPr>
          <w:rFonts w:ascii="Arial" w:hAnsi="Arial" w:cs="Arial"/>
        </w:rPr>
        <w:t xml:space="preserve">Unadjusted misstatements in the financial statements; </w:t>
      </w:r>
    </w:p>
    <w:p w14:paraId="347DF744" w14:textId="2A0FE639" w:rsidR="00823541" w:rsidRDefault="00823541" w:rsidP="00823541">
      <w:pPr>
        <w:pStyle w:val="ListParagraph"/>
        <w:numPr>
          <w:ilvl w:val="0"/>
          <w:numId w:val="8"/>
        </w:numPr>
        <w:tabs>
          <w:tab w:val="left" w:pos="7842"/>
        </w:tabs>
        <w:spacing w:line="320" w:lineRule="exact"/>
        <w:rPr>
          <w:rFonts w:ascii="Arial" w:hAnsi="Arial" w:cs="Arial"/>
        </w:rPr>
      </w:pPr>
      <w:r>
        <w:rPr>
          <w:rFonts w:ascii="Arial" w:hAnsi="Arial" w:cs="Arial"/>
        </w:rPr>
        <w:t>Major judgemental areas; and</w:t>
      </w:r>
    </w:p>
    <w:p w14:paraId="3EFFD2ED" w14:textId="2F0296DB" w:rsidR="00823541" w:rsidRDefault="00823541" w:rsidP="00823541">
      <w:pPr>
        <w:pStyle w:val="ListParagraph"/>
        <w:numPr>
          <w:ilvl w:val="0"/>
          <w:numId w:val="8"/>
        </w:numPr>
        <w:tabs>
          <w:tab w:val="left" w:pos="7842"/>
        </w:tabs>
        <w:spacing w:line="320" w:lineRule="exact"/>
        <w:rPr>
          <w:rFonts w:ascii="Arial" w:hAnsi="Arial" w:cs="Arial"/>
        </w:rPr>
      </w:pPr>
      <w:r>
        <w:rPr>
          <w:rFonts w:ascii="Arial" w:hAnsi="Arial" w:cs="Arial"/>
        </w:rPr>
        <w:t xml:space="preserve">Significant adjustments resulting from the audit. </w:t>
      </w:r>
    </w:p>
    <w:p w14:paraId="1162231B" w14:textId="4E7B66A8" w:rsidR="00823541" w:rsidRDefault="00823541" w:rsidP="00823541">
      <w:pPr>
        <w:tabs>
          <w:tab w:val="left" w:pos="7842"/>
        </w:tabs>
        <w:spacing w:line="320" w:lineRule="exact"/>
        <w:rPr>
          <w:rFonts w:ascii="Arial" w:hAnsi="Arial" w:cs="Arial"/>
        </w:rPr>
      </w:pPr>
    </w:p>
    <w:p w14:paraId="6F1E0B94" w14:textId="29E99BF3" w:rsidR="00823541" w:rsidRDefault="00823541" w:rsidP="00823541">
      <w:pPr>
        <w:pStyle w:val="ListParagraph"/>
        <w:numPr>
          <w:ilvl w:val="0"/>
          <w:numId w:val="7"/>
        </w:numPr>
        <w:tabs>
          <w:tab w:val="left" w:pos="7842"/>
        </w:tabs>
        <w:spacing w:line="320" w:lineRule="exact"/>
        <w:rPr>
          <w:rFonts w:ascii="Arial" w:hAnsi="Arial" w:cs="Arial"/>
        </w:rPr>
      </w:pPr>
      <w:r>
        <w:rPr>
          <w:rFonts w:ascii="Arial" w:hAnsi="Arial" w:cs="Arial"/>
        </w:rPr>
        <w:lastRenderedPageBreak/>
        <w:t>Consider the context of any report involving the NHSBSA issued</w:t>
      </w:r>
      <w:r w:rsidR="00703224">
        <w:rPr>
          <w:rFonts w:ascii="Arial" w:hAnsi="Arial" w:cs="Arial"/>
        </w:rPr>
        <w:t xml:space="preserve"> by the Public Accounts Committee or the Comptroller and Auditor General and review management’s proposed response before presentation to the Board for agreement. </w:t>
      </w:r>
    </w:p>
    <w:p w14:paraId="02107CCB" w14:textId="23F8A966" w:rsidR="00703224" w:rsidRDefault="00703224" w:rsidP="00703224">
      <w:pPr>
        <w:tabs>
          <w:tab w:val="left" w:pos="7842"/>
        </w:tabs>
        <w:spacing w:line="320" w:lineRule="exact"/>
        <w:rPr>
          <w:rFonts w:ascii="Arial" w:hAnsi="Arial" w:cs="Arial"/>
        </w:rPr>
      </w:pPr>
    </w:p>
    <w:p w14:paraId="15876C19" w14:textId="59AA857C" w:rsidR="00703224" w:rsidRDefault="00703224" w:rsidP="00703224">
      <w:pPr>
        <w:pStyle w:val="ListParagraph"/>
        <w:numPr>
          <w:ilvl w:val="0"/>
          <w:numId w:val="7"/>
        </w:numPr>
        <w:tabs>
          <w:tab w:val="left" w:pos="7842"/>
        </w:tabs>
        <w:spacing w:line="320" w:lineRule="exact"/>
        <w:rPr>
          <w:rFonts w:ascii="Arial" w:hAnsi="Arial" w:cs="Arial"/>
        </w:rPr>
      </w:pPr>
      <w:r>
        <w:rPr>
          <w:rFonts w:ascii="Arial" w:hAnsi="Arial" w:cs="Arial"/>
        </w:rPr>
        <w:t xml:space="preserve">Review schedules of losses and special payments. </w:t>
      </w:r>
    </w:p>
    <w:p w14:paraId="254C2149" w14:textId="77777777" w:rsidR="00703224" w:rsidRPr="00703224" w:rsidRDefault="00703224" w:rsidP="00703224">
      <w:pPr>
        <w:pStyle w:val="ListParagraph"/>
        <w:rPr>
          <w:rFonts w:ascii="Arial" w:hAnsi="Arial" w:cs="Arial"/>
        </w:rPr>
      </w:pPr>
    </w:p>
    <w:p w14:paraId="4E35B921" w14:textId="6AFFC827" w:rsidR="00703224" w:rsidRDefault="00703224" w:rsidP="00703224">
      <w:pPr>
        <w:tabs>
          <w:tab w:val="left" w:pos="7842"/>
        </w:tabs>
        <w:spacing w:line="320" w:lineRule="exact"/>
        <w:rPr>
          <w:rFonts w:ascii="Arial" w:hAnsi="Arial" w:cs="Arial"/>
          <w:b/>
          <w:bCs/>
          <w:color w:val="0070C0"/>
        </w:rPr>
      </w:pPr>
      <w:r w:rsidRPr="00703224">
        <w:rPr>
          <w:rFonts w:ascii="Arial" w:hAnsi="Arial" w:cs="Arial"/>
          <w:b/>
          <w:bCs/>
          <w:color w:val="0070C0"/>
        </w:rPr>
        <w:t>Reporting Arrangements and Mechanisms</w:t>
      </w:r>
    </w:p>
    <w:p w14:paraId="71AE677E" w14:textId="4AC53932" w:rsidR="00703224" w:rsidRDefault="00703224" w:rsidP="00703224">
      <w:pPr>
        <w:tabs>
          <w:tab w:val="left" w:pos="7842"/>
        </w:tabs>
        <w:spacing w:line="320" w:lineRule="exact"/>
        <w:rPr>
          <w:rFonts w:ascii="Arial" w:hAnsi="Arial" w:cs="Arial"/>
          <w:b/>
          <w:bCs/>
          <w:color w:val="0070C0"/>
        </w:rPr>
      </w:pPr>
    </w:p>
    <w:p w14:paraId="0B3006B6" w14:textId="45236ED5" w:rsidR="00703224" w:rsidRDefault="00703224" w:rsidP="00703224">
      <w:pPr>
        <w:tabs>
          <w:tab w:val="left" w:pos="7842"/>
        </w:tabs>
        <w:spacing w:line="320" w:lineRule="exact"/>
        <w:rPr>
          <w:rFonts w:ascii="Arial" w:hAnsi="Arial" w:cs="Arial"/>
        </w:rPr>
      </w:pPr>
      <w:r>
        <w:rPr>
          <w:rFonts w:ascii="Arial" w:hAnsi="Arial" w:cs="Arial"/>
        </w:rPr>
        <w:t xml:space="preserve">The Committee meetings shall be formally recorded, and the confirmed minutes submitted to the Board. </w:t>
      </w:r>
    </w:p>
    <w:p w14:paraId="0721BF02" w14:textId="77777777" w:rsidR="002C4A0B" w:rsidRDefault="002C4A0B" w:rsidP="00703224">
      <w:pPr>
        <w:tabs>
          <w:tab w:val="left" w:pos="7842"/>
        </w:tabs>
        <w:spacing w:line="320" w:lineRule="exact"/>
        <w:rPr>
          <w:rFonts w:ascii="Arial" w:hAnsi="Arial" w:cs="Arial"/>
        </w:rPr>
      </w:pPr>
    </w:p>
    <w:p w14:paraId="3EEDC1BF" w14:textId="5D05796D" w:rsidR="002C4A0B" w:rsidRDefault="002C4A0B" w:rsidP="00703224">
      <w:pPr>
        <w:tabs>
          <w:tab w:val="left" w:pos="7842"/>
        </w:tabs>
        <w:spacing w:line="320" w:lineRule="exact"/>
        <w:rPr>
          <w:rFonts w:ascii="Arial" w:hAnsi="Arial" w:cs="Arial"/>
        </w:rPr>
      </w:pPr>
      <w:r>
        <w:rPr>
          <w:rFonts w:ascii="Arial" w:hAnsi="Arial" w:cs="Arial"/>
        </w:rPr>
        <w:t xml:space="preserve">The Committee shall provide a report to the Board following each meeting, providing a summary of its key activities, assurances given and any advice to the Board. The report shall also be shared with the Accounting Officer, Internal Audit and External Audit representatives. </w:t>
      </w:r>
    </w:p>
    <w:p w14:paraId="499D1528" w14:textId="2A418390" w:rsidR="00703224" w:rsidRDefault="00703224" w:rsidP="00703224">
      <w:pPr>
        <w:tabs>
          <w:tab w:val="left" w:pos="7842"/>
        </w:tabs>
        <w:spacing w:line="320" w:lineRule="exact"/>
        <w:rPr>
          <w:rFonts w:ascii="Arial" w:hAnsi="Arial" w:cs="Arial"/>
        </w:rPr>
      </w:pPr>
    </w:p>
    <w:p w14:paraId="2E60F199" w14:textId="21496563" w:rsidR="00703224" w:rsidRDefault="00703224" w:rsidP="00703224">
      <w:pPr>
        <w:tabs>
          <w:tab w:val="left" w:pos="7842"/>
        </w:tabs>
        <w:spacing w:line="320" w:lineRule="exact"/>
        <w:rPr>
          <w:rFonts w:ascii="Arial" w:hAnsi="Arial" w:cs="Arial"/>
        </w:rPr>
      </w:pPr>
      <w:r>
        <w:rPr>
          <w:rFonts w:ascii="Arial" w:hAnsi="Arial" w:cs="Arial"/>
        </w:rPr>
        <w:t xml:space="preserve">The Committee shall undertake an annual review of its own effectiveness. </w:t>
      </w:r>
    </w:p>
    <w:p w14:paraId="17C34742" w14:textId="39915C9C" w:rsidR="00703224" w:rsidRDefault="00703224" w:rsidP="00703224">
      <w:pPr>
        <w:tabs>
          <w:tab w:val="left" w:pos="7842"/>
        </w:tabs>
        <w:spacing w:line="320" w:lineRule="exact"/>
        <w:rPr>
          <w:rFonts w:ascii="Arial" w:hAnsi="Arial" w:cs="Arial"/>
        </w:rPr>
      </w:pPr>
    </w:p>
    <w:p w14:paraId="189A97E7" w14:textId="6D50C972" w:rsidR="00703224" w:rsidRPr="00703224" w:rsidRDefault="00703224" w:rsidP="00703224">
      <w:pPr>
        <w:tabs>
          <w:tab w:val="left" w:pos="7842"/>
        </w:tabs>
        <w:spacing w:line="320" w:lineRule="exact"/>
        <w:rPr>
          <w:rFonts w:ascii="Arial" w:hAnsi="Arial" w:cs="Arial"/>
        </w:rPr>
      </w:pPr>
      <w:r>
        <w:rPr>
          <w:rFonts w:ascii="Arial" w:hAnsi="Arial" w:cs="Arial"/>
        </w:rPr>
        <w:t xml:space="preserve">The Committee shall submit an annual report of its work to the Board. The timing of this report will coincide with the production of the Annual Report and Accounts. </w:t>
      </w:r>
    </w:p>
    <w:sectPr w:rsidR="00703224" w:rsidRPr="00703224" w:rsidSect="00962C9F">
      <w:headerReference w:type="default" r:id="rId11"/>
      <w:footerReference w:type="default" r:id="rId12"/>
      <w:headerReference w:type="first" r:id="rId13"/>
      <w:footerReference w:type="first" r:id="rId14"/>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3FE1" w14:textId="77777777" w:rsidR="00962C9F" w:rsidRDefault="00962C9F" w:rsidP="00D023EC">
      <w:r>
        <w:separator/>
      </w:r>
    </w:p>
  </w:endnote>
  <w:endnote w:type="continuationSeparator" w:id="0">
    <w:p w14:paraId="74512361" w14:textId="77777777" w:rsidR="00962C9F" w:rsidRDefault="00962C9F"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83728"/>
      <w:docPartObj>
        <w:docPartGallery w:val="Page Numbers (Bottom of Page)"/>
        <w:docPartUnique/>
      </w:docPartObj>
    </w:sdtPr>
    <w:sdtEndPr>
      <w:rPr>
        <w:noProof/>
      </w:rPr>
    </w:sdtEndPr>
    <w:sdtContent>
      <w:p w14:paraId="04D0AB62" w14:textId="026C397F" w:rsidR="00703224" w:rsidRDefault="007032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4E45B" w14:textId="43A9DF15" w:rsidR="5AECE5EA" w:rsidRDefault="5AECE5EA" w:rsidP="5AECE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AECE5EA" w14:paraId="00AC8E6C" w14:textId="77777777" w:rsidTr="5AECE5EA">
      <w:tc>
        <w:tcPr>
          <w:tcW w:w="3210" w:type="dxa"/>
        </w:tcPr>
        <w:p w14:paraId="2354BBAB" w14:textId="340E1B30" w:rsidR="5AECE5EA" w:rsidRDefault="5AECE5EA" w:rsidP="5AECE5EA">
          <w:pPr>
            <w:pStyle w:val="Header"/>
            <w:ind w:left="-115"/>
          </w:pPr>
        </w:p>
      </w:tc>
      <w:tc>
        <w:tcPr>
          <w:tcW w:w="3210" w:type="dxa"/>
        </w:tcPr>
        <w:p w14:paraId="1EF9E01E" w14:textId="4B41C9E4" w:rsidR="5AECE5EA" w:rsidRDefault="5AECE5EA" w:rsidP="5AECE5EA">
          <w:pPr>
            <w:pStyle w:val="Header"/>
            <w:jc w:val="center"/>
          </w:pPr>
        </w:p>
      </w:tc>
      <w:tc>
        <w:tcPr>
          <w:tcW w:w="3210" w:type="dxa"/>
        </w:tcPr>
        <w:p w14:paraId="2A8DDACE" w14:textId="4432C1D1" w:rsidR="5AECE5EA" w:rsidRDefault="5AECE5EA" w:rsidP="5AECE5EA">
          <w:pPr>
            <w:pStyle w:val="Header"/>
            <w:ind w:right="-115"/>
            <w:jc w:val="right"/>
          </w:pPr>
        </w:p>
      </w:tc>
    </w:tr>
  </w:tbl>
  <w:p w14:paraId="0E910DE4" w14:textId="0F55F276" w:rsidR="5AECE5EA" w:rsidRDefault="5AECE5EA" w:rsidP="5AECE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50F8" w14:textId="77777777" w:rsidR="00962C9F" w:rsidRDefault="00962C9F" w:rsidP="00D023EC">
      <w:r>
        <w:separator/>
      </w:r>
    </w:p>
  </w:footnote>
  <w:footnote w:type="continuationSeparator" w:id="0">
    <w:p w14:paraId="519EB0FB" w14:textId="77777777" w:rsidR="00962C9F" w:rsidRDefault="00962C9F"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7D9B" w14:textId="77777777" w:rsidR="00080904" w:rsidRDefault="00080904" w:rsidP="0070180D">
    <w:pPr>
      <w:pStyle w:val="Header"/>
      <w:ind w:left="-964" w:right="-9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180C" w14:textId="77777777" w:rsidR="00BD561F" w:rsidRDefault="007B7B25">
    <w:pPr>
      <w:pStyle w:val="Header"/>
    </w:pPr>
    <w:r>
      <w:rPr>
        <w:noProof/>
        <w:lang w:eastAsia="en-GB"/>
      </w:rPr>
      <w:drawing>
        <wp:anchor distT="0" distB="0" distL="114300" distR="114300" simplePos="0" relativeHeight="251658240" behindDoc="1" locked="0" layoutInCell="1" allowOverlap="1" wp14:anchorId="1920B106" wp14:editId="7F29C927">
          <wp:simplePos x="0" y="0"/>
          <wp:positionH relativeFrom="column">
            <wp:posOffset>-752475</wp:posOffset>
          </wp:positionH>
          <wp:positionV relativeFrom="paragraph">
            <wp:posOffset>-83820</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4FFC"/>
    <w:multiLevelType w:val="hybridMultilevel"/>
    <w:tmpl w:val="1ACEA3F6"/>
    <w:lvl w:ilvl="0" w:tplc="423A0B4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B76C4"/>
    <w:multiLevelType w:val="hybridMultilevel"/>
    <w:tmpl w:val="9782DB36"/>
    <w:lvl w:ilvl="0" w:tplc="99BC35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820A65"/>
    <w:multiLevelType w:val="hybridMultilevel"/>
    <w:tmpl w:val="A72256CE"/>
    <w:lvl w:ilvl="0" w:tplc="A50EA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882CF6"/>
    <w:multiLevelType w:val="hybridMultilevel"/>
    <w:tmpl w:val="28546508"/>
    <w:lvl w:ilvl="0" w:tplc="F4DADD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827348"/>
    <w:multiLevelType w:val="hybridMultilevel"/>
    <w:tmpl w:val="2A3A5EA6"/>
    <w:lvl w:ilvl="0" w:tplc="42A043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65319"/>
    <w:multiLevelType w:val="hybridMultilevel"/>
    <w:tmpl w:val="54A6BDA0"/>
    <w:lvl w:ilvl="0" w:tplc="D3586E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E23969"/>
    <w:multiLevelType w:val="hybridMultilevel"/>
    <w:tmpl w:val="2DA68394"/>
    <w:lvl w:ilvl="0" w:tplc="719E3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520D06"/>
    <w:multiLevelType w:val="hybridMultilevel"/>
    <w:tmpl w:val="1506F090"/>
    <w:lvl w:ilvl="0" w:tplc="4148CE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AF3EEA"/>
    <w:multiLevelType w:val="hybridMultilevel"/>
    <w:tmpl w:val="CA92E2A6"/>
    <w:lvl w:ilvl="0" w:tplc="9EEC65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E63B65"/>
    <w:multiLevelType w:val="hybridMultilevel"/>
    <w:tmpl w:val="AE8CD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022714">
    <w:abstractNumId w:val="8"/>
  </w:num>
  <w:num w:numId="2" w16cid:durableId="486480539">
    <w:abstractNumId w:val="5"/>
  </w:num>
  <w:num w:numId="3" w16cid:durableId="1590038570">
    <w:abstractNumId w:val="1"/>
  </w:num>
  <w:num w:numId="4" w16cid:durableId="536815822">
    <w:abstractNumId w:val="4"/>
  </w:num>
  <w:num w:numId="5" w16cid:durableId="809981555">
    <w:abstractNumId w:val="6"/>
  </w:num>
  <w:num w:numId="6" w16cid:durableId="1614090240">
    <w:abstractNumId w:val="3"/>
  </w:num>
  <w:num w:numId="7" w16cid:durableId="162743459">
    <w:abstractNumId w:val="2"/>
  </w:num>
  <w:num w:numId="8" w16cid:durableId="529879869">
    <w:abstractNumId w:val="7"/>
  </w:num>
  <w:num w:numId="9" w16cid:durableId="262031466">
    <w:abstractNumId w:val="9"/>
  </w:num>
  <w:num w:numId="10" w16cid:durableId="13973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663B9"/>
    <w:rsid w:val="00080904"/>
    <w:rsid w:val="000827EC"/>
    <w:rsid w:val="000C01C1"/>
    <w:rsid w:val="000D0CB2"/>
    <w:rsid w:val="001364A6"/>
    <w:rsid w:val="00136D79"/>
    <w:rsid w:val="0014325C"/>
    <w:rsid w:val="001B210F"/>
    <w:rsid w:val="001F2FBF"/>
    <w:rsid w:val="00232DB0"/>
    <w:rsid w:val="00233A3E"/>
    <w:rsid w:val="0024536B"/>
    <w:rsid w:val="0028475E"/>
    <w:rsid w:val="002B5692"/>
    <w:rsid w:val="002C4A0B"/>
    <w:rsid w:val="002D72E0"/>
    <w:rsid w:val="00314FB5"/>
    <w:rsid w:val="00350100"/>
    <w:rsid w:val="003650F1"/>
    <w:rsid w:val="00371A76"/>
    <w:rsid w:val="00384729"/>
    <w:rsid w:val="00386F12"/>
    <w:rsid w:val="00391EE2"/>
    <w:rsid w:val="004074DA"/>
    <w:rsid w:val="00427CB9"/>
    <w:rsid w:val="004A375B"/>
    <w:rsid w:val="004D1566"/>
    <w:rsid w:val="004F7882"/>
    <w:rsid w:val="00527F40"/>
    <w:rsid w:val="00557189"/>
    <w:rsid w:val="005939AB"/>
    <w:rsid w:val="005D1138"/>
    <w:rsid w:val="0063459D"/>
    <w:rsid w:val="00680E1A"/>
    <w:rsid w:val="0069381F"/>
    <w:rsid w:val="006B6FC4"/>
    <w:rsid w:val="0070180D"/>
    <w:rsid w:val="00703224"/>
    <w:rsid w:val="00721381"/>
    <w:rsid w:val="0073267F"/>
    <w:rsid w:val="007434AF"/>
    <w:rsid w:val="007A2E5D"/>
    <w:rsid w:val="007B7B25"/>
    <w:rsid w:val="007C1F87"/>
    <w:rsid w:val="00823541"/>
    <w:rsid w:val="00855868"/>
    <w:rsid w:val="008A4F37"/>
    <w:rsid w:val="008A6CBF"/>
    <w:rsid w:val="008C33D9"/>
    <w:rsid w:val="008D30C5"/>
    <w:rsid w:val="008F02F5"/>
    <w:rsid w:val="00901BBA"/>
    <w:rsid w:val="00933DE2"/>
    <w:rsid w:val="00936F26"/>
    <w:rsid w:val="00955E6C"/>
    <w:rsid w:val="00962C9F"/>
    <w:rsid w:val="00971383"/>
    <w:rsid w:val="009B5483"/>
    <w:rsid w:val="009C5B30"/>
    <w:rsid w:val="009F1AC1"/>
    <w:rsid w:val="00A66A47"/>
    <w:rsid w:val="00A90E8F"/>
    <w:rsid w:val="00AA3310"/>
    <w:rsid w:val="00AA3E23"/>
    <w:rsid w:val="00AD2BFA"/>
    <w:rsid w:val="00AE7A6C"/>
    <w:rsid w:val="00AE7F80"/>
    <w:rsid w:val="00B024F5"/>
    <w:rsid w:val="00B036AD"/>
    <w:rsid w:val="00B5067D"/>
    <w:rsid w:val="00B67C44"/>
    <w:rsid w:val="00B7575F"/>
    <w:rsid w:val="00B875FF"/>
    <w:rsid w:val="00BA6E50"/>
    <w:rsid w:val="00BD561F"/>
    <w:rsid w:val="00C46460"/>
    <w:rsid w:val="00C65736"/>
    <w:rsid w:val="00CB2DCD"/>
    <w:rsid w:val="00CC3046"/>
    <w:rsid w:val="00CE56E8"/>
    <w:rsid w:val="00CF130E"/>
    <w:rsid w:val="00D023EC"/>
    <w:rsid w:val="00D92123"/>
    <w:rsid w:val="00DA2BBD"/>
    <w:rsid w:val="00DA5304"/>
    <w:rsid w:val="00DB42A9"/>
    <w:rsid w:val="00DC2381"/>
    <w:rsid w:val="00DF0559"/>
    <w:rsid w:val="00E249CA"/>
    <w:rsid w:val="00E338D7"/>
    <w:rsid w:val="00E602DA"/>
    <w:rsid w:val="00E967CC"/>
    <w:rsid w:val="00ED678F"/>
    <w:rsid w:val="00EE5AE9"/>
    <w:rsid w:val="00F36DDD"/>
    <w:rsid w:val="00F65DFB"/>
    <w:rsid w:val="00F80E6E"/>
    <w:rsid w:val="00F91878"/>
    <w:rsid w:val="00FD26B6"/>
    <w:rsid w:val="5AECE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68E55F"/>
  <w15:docId w15:val="{AD7AE046-1BB4-463E-B0EF-7B5DCCC1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paragraph" w:styleId="ListParagraph">
    <w:name w:val="List Paragraph"/>
    <w:basedOn w:val="Normal"/>
    <w:uiPriority w:val="34"/>
    <w:qFormat/>
    <w:rsid w:val="00E338D7"/>
    <w:pPr>
      <w:ind w:left="720"/>
      <w:contextualSpacing/>
    </w:pPr>
  </w:style>
  <w:style w:type="paragraph" w:styleId="Revision">
    <w:name w:val="Revision"/>
    <w:hidden/>
    <w:uiPriority w:val="99"/>
    <w:semiHidden/>
    <w:rsid w:val="00E249CA"/>
    <w:rPr>
      <w:sz w:val="24"/>
      <w:szCs w:val="24"/>
      <w:lang w:eastAsia="en-US"/>
    </w:rPr>
  </w:style>
  <w:style w:type="character" w:customStyle="1" w:styleId="ui-provider">
    <w:name w:val="ui-provider"/>
    <w:basedOn w:val="DefaultParagraphFont"/>
    <w:rsid w:val="008C33D9"/>
  </w:style>
  <w:style w:type="character" w:styleId="CommentReference">
    <w:name w:val="annotation reference"/>
    <w:basedOn w:val="DefaultParagraphFont"/>
    <w:uiPriority w:val="99"/>
    <w:semiHidden/>
    <w:unhideWhenUsed/>
    <w:rsid w:val="00371A76"/>
    <w:rPr>
      <w:sz w:val="16"/>
      <w:szCs w:val="16"/>
    </w:rPr>
  </w:style>
  <w:style w:type="paragraph" w:styleId="CommentText">
    <w:name w:val="annotation text"/>
    <w:basedOn w:val="Normal"/>
    <w:link w:val="CommentTextChar"/>
    <w:uiPriority w:val="99"/>
    <w:unhideWhenUsed/>
    <w:rsid w:val="00371A76"/>
    <w:rPr>
      <w:sz w:val="20"/>
      <w:szCs w:val="20"/>
    </w:rPr>
  </w:style>
  <w:style w:type="character" w:customStyle="1" w:styleId="CommentTextChar">
    <w:name w:val="Comment Text Char"/>
    <w:basedOn w:val="DefaultParagraphFont"/>
    <w:link w:val="CommentText"/>
    <w:uiPriority w:val="99"/>
    <w:rsid w:val="00371A76"/>
    <w:rPr>
      <w:lang w:eastAsia="en-US"/>
    </w:rPr>
  </w:style>
  <w:style w:type="paragraph" w:styleId="CommentSubject">
    <w:name w:val="annotation subject"/>
    <w:basedOn w:val="CommentText"/>
    <w:next w:val="CommentText"/>
    <w:link w:val="CommentSubjectChar"/>
    <w:uiPriority w:val="99"/>
    <w:semiHidden/>
    <w:unhideWhenUsed/>
    <w:rsid w:val="00371A76"/>
    <w:rPr>
      <w:b/>
      <w:bCs/>
    </w:rPr>
  </w:style>
  <w:style w:type="character" w:customStyle="1" w:styleId="CommentSubjectChar">
    <w:name w:val="Comment Subject Char"/>
    <w:basedOn w:val="CommentTextChar"/>
    <w:link w:val="CommentSubject"/>
    <w:uiPriority w:val="99"/>
    <w:semiHidden/>
    <w:rsid w:val="00371A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4052b22-9cc1-4927-9a67-2fa6d6fece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7DF40B7ADDF34193C2A23BF44E03F4" ma:contentTypeVersion="17" ma:contentTypeDescription="Create a new document." ma:contentTypeScope="" ma:versionID="857794ea5442c07a6cb09327d7559eff">
  <xsd:schema xmlns:xsd="http://www.w3.org/2001/XMLSchema" xmlns:xs="http://www.w3.org/2001/XMLSchema" xmlns:p="http://schemas.microsoft.com/office/2006/metadata/properties" xmlns:ns2="44052b22-9cc1-4927-9a67-2fa6d6fece29" xmlns:ns3="75a52867-3139-477d-899f-c63c41a313e5" xmlns:ns4="2799d30d-6731-4efe-ac9b-c4895a8828d9" targetNamespace="http://schemas.microsoft.com/office/2006/metadata/properties" ma:root="true" ma:fieldsID="54d92eafc46685fdbf9b20949e57b5cf" ns2:_="" ns3:_="" ns4:_="">
    <xsd:import namespace="44052b22-9cc1-4927-9a67-2fa6d6fece29"/>
    <xsd:import namespace="75a52867-3139-477d-899f-c63c41a313e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2b22-9cc1-4927-9a67-2fa6d6fe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52867-3139-477d-899f-c63c41a313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838942f-d419-4502-8d27-d42280bc6db0}" ma:internalName="TaxCatchAll" ma:showField="CatchAllData" ma:web="75a52867-3139-477d-899f-c63c41a31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68A3C-9B83-4C88-87FA-FEBDD79ECDC4}">
  <ds:schemaRefs>
    <ds:schemaRef ds:uri="http://schemas.microsoft.com/office/2006/metadata/properties"/>
    <ds:schemaRef ds:uri="http://schemas.microsoft.com/office/infopath/2007/PartnerControls"/>
    <ds:schemaRef ds:uri="2799d30d-6731-4efe-ac9b-c4895a8828d9"/>
    <ds:schemaRef ds:uri="44052b22-9cc1-4927-9a67-2fa6d6fece29"/>
  </ds:schemaRefs>
</ds:datastoreItem>
</file>

<file path=customXml/itemProps2.xml><?xml version="1.0" encoding="utf-8"?>
<ds:datastoreItem xmlns:ds="http://schemas.openxmlformats.org/officeDocument/2006/customXml" ds:itemID="{63BEB970-A01F-49E1-A08F-ECD3AABCB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52b22-9cc1-4927-9a67-2fa6d6fece29"/>
    <ds:schemaRef ds:uri="75a52867-3139-477d-899f-c63c41a313e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27446-6139-4B04-8792-4B32AD12B9FF}">
  <ds:schemaRefs>
    <ds:schemaRef ds:uri="http://schemas.openxmlformats.org/officeDocument/2006/bibliography"/>
  </ds:schemaRefs>
</ds:datastoreItem>
</file>

<file path=customXml/itemProps4.xml><?xml version="1.0" encoding="utf-8"?>
<ds:datastoreItem xmlns:ds="http://schemas.openxmlformats.org/officeDocument/2006/customXml" ds:itemID="{D3FA756F-FD2F-40E4-82FC-FA3318336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Jones</dc:creator>
  <cp:lastModifiedBy>Alyx Maving</cp:lastModifiedBy>
  <cp:revision>46</cp:revision>
  <cp:lastPrinted>2013-06-25T15:38:00Z</cp:lastPrinted>
  <dcterms:created xsi:type="dcterms:W3CDTF">2023-07-31T09:08:00Z</dcterms:created>
  <dcterms:modified xsi:type="dcterms:W3CDTF">2024-05-13T08:18:00Z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0x01010038602CAF33B2AF46AB804BA602178BEA</vt:lpwstr>
  </property>
  <property fmtid="{D5CDD505-2E9C-101B-9397-08002B2CF9AE}" pid="3" name="MHArea">
    <vt:lpwstr>1;#Communications and Marketing|08088193-41ae-4630-9e22-b6f5a964e91c</vt:lpwstr>
  </property>
  <property fmtid="{D5CDD505-2E9C-101B-9397-08002B2CF9AE}" pid="4" name="MHCategory">
    <vt:lpwstr/>
  </property>
  <property fmtid="{D5CDD505-2E9C-101B-9397-08002B2CF9AE}" pid="5" name="IntranetCategory">
    <vt:lpwstr/>
  </property>
  <property fmtid="{D5CDD505-2E9C-101B-9397-08002B2CF9AE}" pid="6" name="o3a3c54fcb954df5bc9a110c60848d6a">
    <vt:lpwstr/>
  </property>
  <property fmtid="{D5CDD505-2E9C-101B-9397-08002B2CF9AE}" pid="7" name="MediaServiceImageTags">
    <vt:lpwstr/>
  </property>
</Properties>
</file>