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D24388"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D6B4B35"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D804E8">
              <w:rPr>
                <w:rFonts w:ascii="Arial" w:hAnsi="Arial" w:cs="Arial"/>
              </w:rPr>
              <w:t>8</w:t>
            </w:r>
            <w:r w:rsidR="001C64E4">
              <w:rPr>
                <w:rFonts w:ascii="Arial" w:hAnsi="Arial" w:cs="Arial"/>
              </w:rPr>
              <w:t xml:space="preserve"> </w:t>
            </w:r>
            <w:r w:rsidR="001443D9">
              <w:rPr>
                <w:rFonts w:ascii="Arial" w:hAnsi="Arial" w:cs="Arial"/>
              </w:rPr>
              <w:t>August</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57FBFED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443D9">
        <w:rPr>
          <w:rFonts w:ascii="Arial" w:eastAsia="Times New Roman" w:hAnsi="Arial" w:cs="Arial"/>
        </w:rPr>
        <w:t>8</w:t>
      </w:r>
      <w:r w:rsidR="0053420C" w:rsidRPr="2DBBE11B">
        <w:rPr>
          <w:rFonts w:ascii="Arial" w:eastAsia="Times New Roman" w:hAnsi="Arial" w:cs="Arial"/>
        </w:rPr>
        <w:t>.</w:t>
      </w:r>
      <w:r w:rsidR="00D804E8">
        <w:rPr>
          <w:rFonts w:ascii="Arial" w:eastAsia="Times New Roman" w:hAnsi="Arial" w:cs="Arial"/>
        </w:rPr>
        <w:t>1</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Dear dm+d User,</w:t>
      </w:r>
    </w:p>
    <w:p w14:paraId="712F8FE0" w14:textId="48AF8447" w:rsidR="008E5B47" w:rsidRDefault="008E5B47" w:rsidP="00261DE8">
      <w:pPr>
        <w:rPr>
          <w:rFonts w:ascii="Arial" w:eastAsia="Times New Roman" w:hAnsi="Arial" w:cs="Arial"/>
        </w:rPr>
      </w:pPr>
    </w:p>
    <w:p w14:paraId="0DCA8F05" w14:textId="77777777" w:rsidR="00D91415" w:rsidRPr="00D91415" w:rsidRDefault="00D91415" w:rsidP="00D91415">
      <w:pPr>
        <w:rPr>
          <w:rFonts w:ascii="Arial" w:eastAsiaTheme="minorHAnsi" w:hAnsi="Arial" w:cs="Arial"/>
          <w:b/>
          <w:bCs/>
          <w:sz w:val="22"/>
          <w:szCs w:val="22"/>
          <w:u w:val="single"/>
          <w:lang w:val="en-GB"/>
        </w:rPr>
      </w:pPr>
      <w:r w:rsidRPr="00D91415">
        <w:rPr>
          <w:rFonts w:ascii="Arial" w:hAnsi="Arial" w:cs="Arial"/>
          <w:b/>
          <w:bCs/>
          <w:u w:val="single"/>
        </w:rPr>
        <w:t xml:space="preserve">Advanced notice: Xailin Hydrate 0.3% eye drops preservative free </w:t>
      </w:r>
      <w:r w:rsidRPr="00D91415">
        <w:rPr>
          <w:rFonts w:ascii="Arial" w:hAnsi="Arial" w:cs="Arial"/>
          <w:b/>
          <w:bCs/>
          <w:u w:val="single"/>
          <w:lang w:eastAsia="en-GB"/>
        </w:rPr>
        <w:t>(Visufarma UK Ltd)</w:t>
      </w:r>
    </w:p>
    <w:p w14:paraId="2EDD60AD" w14:textId="77777777" w:rsidR="00D91415" w:rsidRDefault="00D91415" w:rsidP="00D91415">
      <w:pPr>
        <w:rPr>
          <w:rFonts w:ascii="Arial" w:hAnsi="Arial" w:cs="Arial"/>
        </w:rPr>
      </w:pPr>
    </w:p>
    <w:p w14:paraId="7DD2869D" w14:textId="528BFE8E" w:rsidR="00D91415" w:rsidRDefault="00D91415" w:rsidP="00D91415">
      <w:pPr>
        <w:rPr>
          <w:rFonts w:ascii="Arial" w:hAnsi="Arial" w:cs="Arial"/>
        </w:rPr>
      </w:pPr>
      <w:r>
        <w:rPr>
          <w:rFonts w:ascii="Arial" w:hAnsi="Arial" w:cs="Arial"/>
        </w:rPr>
        <w:t>Currently it is listed under the VMP of Hypromellose 0.3% eye drops preservative free. This was erroneously authored under this VMP and from 1</w:t>
      </w:r>
      <w:r>
        <w:rPr>
          <w:rFonts w:ascii="Arial" w:hAnsi="Arial" w:cs="Arial"/>
          <w:vertAlign w:val="superscript"/>
        </w:rPr>
        <w:t>st</w:t>
      </w:r>
      <w:r>
        <w:rPr>
          <w:rFonts w:ascii="Arial" w:hAnsi="Arial" w:cs="Arial"/>
        </w:rPr>
        <w:t xml:space="preserve"> August in dm+d, we are going to re-author this under the VMP Hypromellose 0.3% eye drops. We will have processes in place to ensure that prescriptions submitted for payment will be reimbursed appropriately. Also to minimise inconvenience for users, technical support colleagues are going to effectively ‘lift and shift’ this concept in dm+d to keep codes and IDs the same (just a different VMP parent).</w:t>
      </w:r>
    </w:p>
    <w:p w14:paraId="5FB16CAB" w14:textId="77777777" w:rsidR="00D91415" w:rsidRDefault="00D91415" w:rsidP="00D91415">
      <w:pPr>
        <w:rPr>
          <w:rFonts w:ascii="Arial" w:hAnsi="Arial" w:cs="Arial"/>
        </w:rPr>
      </w:pPr>
    </w:p>
    <w:p w14:paraId="108336F7" w14:textId="77777777" w:rsidR="00D91415" w:rsidRDefault="00D91415" w:rsidP="00D91415">
      <w:pPr>
        <w:rPr>
          <w:rFonts w:ascii="Arial" w:hAnsi="Arial" w:cs="Arial"/>
        </w:rPr>
      </w:pPr>
      <w:r>
        <w:rPr>
          <w:rFonts w:ascii="Arial" w:hAnsi="Arial" w:cs="Arial"/>
        </w:rPr>
        <w:t>This update will be evident in the dm+d extract files on Monday 8</w:t>
      </w:r>
      <w:r>
        <w:rPr>
          <w:rFonts w:ascii="Arial" w:hAnsi="Arial" w:cs="Arial"/>
          <w:vertAlign w:val="superscript"/>
        </w:rPr>
        <w:t>th</w:t>
      </w:r>
      <w:r>
        <w:rPr>
          <w:rFonts w:ascii="Arial" w:hAnsi="Arial" w:cs="Arial"/>
        </w:rPr>
        <w:t xml:space="preserve"> August.</w:t>
      </w:r>
    </w:p>
    <w:p w14:paraId="14E05403" w14:textId="77777777" w:rsidR="00D91415" w:rsidRDefault="00D91415" w:rsidP="00D91415">
      <w:pPr>
        <w:rPr>
          <w:rFonts w:ascii="Arial" w:hAnsi="Arial" w:cs="Arial"/>
        </w:rPr>
      </w:pPr>
    </w:p>
    <w:p w14:paraId="10727408" w14:textId="7D03A5FE" w:rsidR="008E5B47" w:rsidRDefault="00D91415" w:rsidP="00D91415">
      <w:pPr>
        <w:rPr>
          <w:rFonts w:ascii="Arial" w:eastAsia="Times New Roman" w:hAnsi="Arial" w:cs="Arial"/>
        </w:rPr>
      </w:pPr>
      <w:r>
        <w:rPr>
          <w:rFonts w:ascii="Arial" w:hAnsi="Arial" w:cs="Arial"/>
        </w:rPr>
        <w:t>Also regarding VMP trees that just have linking medical devices, in line with our understanding, we are aiming to update VMP prescribing statuses to ‘Caution - AMP level prescribing advised’</w:t>
      </w:r>
    </w:p>
    <w:p w14:paraId="414921E6" w14:textId="2DA64D32" w:rsidR="00262AA3" w:rsidRDefault="00262AA3" w:rsidP="00261DE8">
      <w:pPr>
        <w:rPr>
          <w:rFonts w:ascii="Arial" w:eastAsia="Times New Roman" w:hAnsi="Arial" w:cs="Arial"/>
        </w:rPr>
      </w:pPr>
    </w:p>
    <w:p w14:paraId="647513FC" w14:textId="77777777" w:rsidR="00EB7F26" w:rsidRDefault="00EB7F26" w:rsidP="00262AA3">
      <w:pPr>
        <w:rPr>
          <w:rFonts w:ascii="Arial" w:hAnsi="Arial" w:cs="Arial"/>
          <w:b/>
          <w:bCs/>
          <w:u w:val="single"/>
        </w:rPr>
      </w:pPr>
    </w:p>
    <w:p w14:paraId="7EF89684" w14:textId="77777777" w:rsidR="00EB7F26" w:rsidRDefault="00EB7F26" w:rsidP="00262AA3">
      <w:pPr>
        <w:rPr>
          <w:rFonts w:ascii="Arial" w:hAnsi="Arial" w:cs="Arial"/>
          <w:b/>
          <w:bCs/>
          <w:u w:val="single"/>
        </w:rPr>
      </w:pPr>
    </w:p>
    <w:p w14:paraId="7682F3AC" w14:textId="77777777" w:rsidR="00EB7F26" w:rsidRDefault="00EB7F26" w:rsidP="00262AA3">
      <w:pPr>
        <w:rPr>
          <w:rFonts w:ascii="Arial" w:hAnsi="Arial" w:cs="Arial"/>
          <w:b/>
          <w:bCs/>
          <w:u w:val="single"/>
        </w:rPr>
      </w:pPr>
    </w:p>
    <w:p w14:paraId="3D2CF4E6" w14:textId="77777777" w:rsidR="00EB7F26" w:rsidRDefault="00EB7F26" w:rsidP="00262AA3">
      <w:pPr>
        <w:rPr>
          <w:rFonts w:ascii="Arial" w:hAnsi="Arial" w:cs="Arial"/>
          <w:b/>
          <w:bCs/>
          <w:u w:val="single"/>
        </w:rPr>
      </w:pPr>
    </w:p>
    <w:p w14:paraId="466B8DBC" w14:textId="77777777" w:rsidR="00EB7F26" w:rsidRDefault="00EB7F26" w:rsidP="00262AA3">
      <w:pPr>
        <w:rPr>
          <w:rFonts w:ascii="Arial" w:hAnsi="Arial" w:cs="Arial"/>
          <w:b/>
          <w:bCs/>
          <w:u w:val="single"/>
        </w:rPr>
      </w:pPr>
    </w:p>
    <w:p w14:paraId="0EAB4C84" w14:textId="473E50CC" w:rsidR="00262AA3" w:rsidRDefault="00262AA3" w:rsidP="00262AA3">
      <w:pPr>
        <w:rPr>
          <w:rFonts w:ascii="Arial" w:eastAsiaTheme="minorHAnsi" w:hAnsi="Arial" w:cs="Arial"/>
          <w:b/>
          <w:bCs/>
          <w:u w:val="single"/>
          <w:lang w:val="en-GB"/>
        </w:rPr>
      </w:pPr>
    </w:p>
    <w:p w14:paraId="5CA321D8" w14:textId="77777777" w:rsidR="00262AA3" w:rsidRDefault="00262AA3" w:rsidP="00262AA3">
      <w:pPr>
        <w:rPr>
          <w:rFonts w:ascii="Arial" w:hAnsi="Arial" w:cs="Arial"/>
        </w:rPr>
      </w:pPr>
    </w:p>
    <w:p w14:paraId="52F52D76" w14:textId="77777777" w:rsidR="000B02EB" w:rsidRDefault="004D7EDA" w:rsidP="00262AA3">
      <w:pPr>
        <w:rPr>
          <w:rFonts w:ascii="Calibri" w:hAnsi="Calibri" w:cs="Calibri"/>
          <w:sz w:val="22"/>
          <w:szCs w:val="22"/>
        </w:rPr>
      </w:pPr>
      <w:r>
        <w:rPr>
          <w:rFonts w:ascii="Calibri" w:hAnsi="Calibri" w:cs="Calibri"/>
          <w:sz w:val="22"/>
          <w:szCs w:val="22"/>
        </w:rPr>
        <w:lastRenderedPageBreak/>
        <w:t xml:space="preserve">  </w:t>
      </w:r>
    </w:p>
    <w:p w14:paraId="6FA749D6" w14:textId="77777777" w:rsidR="00CC08E4" w:rsidRDefault="00CC08E4" w:rsidP="00262AA3">
      <w:pPr>
        <w:rPr>
          <w:rFonts w:ascii="Calibri" w:hAnsi="Calibri" w:cs="Calibri"/>
          <w:sz w:val="22"/>
          <w:szCs w:val="22"/>
        </w:rPr>
      </w:pPr>
    </w:p>
    <w:p w14:paraId="7B7BA70A" w14:textId="4C64FE52" w:rsidR="00262AA3" w:rsidRPr="004D7EDA" w:rsidRDefault="00CC08E4" w:rsidP="00262AA3">
      <w:pPr>
        <w:rPr>
          <w:rFonts w:ascii="Arial" w:hAnsi="Arial" w:cs="Arial"/>
          <w:b/>
          <w:bCs/>
          <w:u w:val="single"/>
        </w:rPr>
      </w:pPr>
      <w:r>
        <w:rPr>
          <w:rFonts w:ascii="Calibri" w:hAnsi="Calibri" w:cs="Calibri"/>
          <w:sz w:val="22"/>
          <w:szCs w:val="22"/>
        </w:rPr>
        <w:t xml:space="preserve">  </w:t>
      </w:r>
      <w:r w:rsidR="004D7EDA" w:rsidRPr="004D7EDA">
        <w:rPr>
          <w:rFonts w:ascii="Arial" w:hAnsi="Arial" w:cs="Arial"/>
          <w:b/>
          <w:bCs/>
          <w:u w:val="single"/>
        </w:rPr>
        <w:t>The following VMP SNOMED code changes have been made</w:t>
      </w:r>
    </w:p>
    <w:p w14:paraId="6DFC41B1" w14:textId="12B56297" w:rsidR="00CB2C3B" w:rsidRDefault="00CB2C3B" w:rsidP="00262AA3">
      <w:pPr>
        <w:rPr>
          <w:rFonts w:ascii="Calibri" w:hAnsi="Calibri" w:cs="Calibri"/>
          <w:sz w:val="22"/>
          <w:szCs w:val="22"/>
        </w:rPr>
      </w:pPr>
    </w:p>
    <w:p w14:paraId="5393F261" w14:textId="6DC65491" w:rsidR="000B02EB" w:rsidRDefault="000B02EB" w:rsidP="00262AA3">
      <w:pPr>
        <w:rPr>
          <w:rFonts w:ascii="Calibri" w:hAnsi="Calibri" w:cs="Calibri"/>
          <w:sz w:val="22"/>
          <w:szCs w:val="22"/>
        </w:rPr>
      </w:pPr>
    </w:p>
    <w:p w14:paraId="6CA73D01" w14:textId="77777777" w:rsidR="000B02EB" w:rsidRDefault="000B02EB"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DD0797" w:rsidRDefault="00DD0797" w:rsidP="00253252">
      <w:pPr>
        <w:rPr>
          <w:rFonts w:ascii="Arial" w:hAnsi="Arial" w:cs="Arial"/>
          <w:b/>
          <w:color w:val="000000" w:themeColor="text1"/>
        </w:rPr>
      </w:pPr>
    </w:p>
    <w:p w14:paraId="311B5B45" w14:textId="77777777" w:rsidR="00D91415" w:rsidRDefault="00D91415" w:rsidP="00253252">
      <w:pPr>
        <w:rPr>
          <w:rFonts w:ascii="Arial" w:eastAsia="Times New Roman" w:hAnsi="Arial" w:cs="Arial"/>
          <w:b/>
          <w:color w:val="000000" w:themeColor="text1"/>
        </w:rPr>
      </w:pPr>
    </w:p>
    <w:p w14:paraId="0A626D93" w14:textId="77777777" w:rsidR="00D91415" w:rsidRDefault="00D91415" w:rsidP="00253252">
      <w:pPr>
        <w:rPr>
          <w:rFonts w:ascii="Arial" w:eastAsia="Times New Roman" w:hAnsi="Arial" w:cs="Arial"/>
          <w:b/>
          <w:color w:val="000000" w:themeColor="text1"/>
        </w:rPr>
      </w:pPr>
    </w:p>
    <w:p w14:paraId="463C587A" w14:textId="77777777" w:rsidR="00D91415" w:rsidRDefault="00D91415" w:rsidP="00253252">
      <w:pPr>
        <w:rPr>
          <w:rFonts w:ascii="Arial" w:eastAsia="Times New Roman" w:hAnsi="Arial" w:cs="Arial"/>
          <w:b/>
          <w:color w:val="000000" w:themeColor="text1"/>
        </w:rPr>
      </w:pPr>
    </w:p>
    <w:p w14:paraId="6E6B6CB4" w14:textId="77777777" w:rsidR="00D91415" w:rsidRDefault="00D91415" w:rsidP="00253252">
      <w:pPr>
        <w:rPr>
          <w:rFonts w:ascii="Arial" w:eastAsia="Times New Roman" w:hAnsi="Arial" w:cs="Arial"/>
          <w:b/>
          <w:color w:val="000000" w:themeColor="text1"/>
        </w:rPr>
      </w:pPr>
    </w:p>
    <w:p w14:paraId="46B55657" w14:textId="141B17C4" w:rsidR="007306C7" w:rsidRDefault="00E70713" w:rsidP="00253252">
      <w:pPr>
        <w:rPr>
          <w:rFonts w:ascii="Arial" w:eastAsia="Times New Roman" w:hAnsi="Arial" w:cs="Arial"/>
          <w:b/>
          <w:color w:val="000000" w:themeColor="text1"/>
        </w:rPr>
      </w:pPr>
      <w:r>
        <w:rPr>
          <w:rFonts w:ascii="Arial" w:eastAsia="Times New Roman" w:hAnsi="Arial" w:cs="Arial"/>
          <w:b/>
          <w:color w:val="000000" w:themeColor="text1"/>
        </w:rPr>
        <w:t>D</w:t>
      </w:r>
      <w:r w:rsidR="007306C7" w:rsidRPr="007306C7">
        <w:rPr>
          <w:rFonts w:ascii="Arial" w:eastAsia="Times New Roman" w:hAnsi="Arial" w:cs="Arial"/>
          <w:b/>
          <w:color w:val="000000" w:themeColor="text1"/>
        </w:rPr>
        <w:t>HSC require these concepts to be made available and visible (similar to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r>
              <w:rPr>
                <w:rFonts w:ascii="Arial" w:hAnsi="Arial" w:cs="Arial"/>
                <w:sz w:val="20"/>
                <w:szCs w:val="20"/>
              </w:rPr>
              <w:t>Alendronic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bl>
    <w:p w14:paraId="7367D22B" w14:textId="77777777" w:rsidR="004B36A0" w:rsidRDefault="004B36A0" w:rsidP="00A75656">
      <w:pPr>
        <w:spacing w:before="100" w:beforeAutospacing="1" w:after="100" w:afterAutospacing="1"/>
        <w:rPr>
          <w:rFonts w:ascii="Arial" w:eastAsia="Times New Roman" w:hAnsi="Arial" w:cs="Arial"/>
          <w:b/>
          <w:u w:val="single"/>
        </w:rPr>
      </w:pPr>
    </w:p>
    <w:p w14:paraId="03577D88" w14:textId="3F1DAA24"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7D0FFF04" w14:textId="59DC98D7" w:rsidR="00253252" w:rsidRDefault="004E47D3"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7EE06943" w14:textId="77777777" w:rsidR="00467F9F" w:rsidRDefault="00467F9F" w:rsidP="00553FC1">
      <w:pPr>
        <w:spacing w:before="100" w:beforeAutospacing="1" w:after="100" w:afterAutospacing="1"/>
        <w:rPr>
          <w:rFonts w:ascii="Arial" w:eastAsia="Times New Roman" w:hAnsi="Arial" w:cs="Arial"/>
          <w:bCs/>
        </w:rPr>
      </w:pPr>
    </w:p>
    <w:p w14:paraId="4093394F" w14:textId="67608660"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738B361C" w14:textId="70811AB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t>T</w:t>
      </w:r>
      <w:r w:rsidR="008B5B83">
        <w:rPr>
          <w:rFonts w:ascii="Arial" w:eastAsia="Times New Roman" w:hAnsi="Arial" w:cs="Arial"/>
        </w:rPr>
        <w:t xml:space="preserve">he following concept will be invalidated mid-Aug. </w:t>
      </w:r>
      <w:r w:rsidR="000E6A25">
        <w:rPr>
          <w:rFonts w:ascii="Arial" w:eastAsia="Times New Roman" w:hAnsi="Arial" w:cs="Arial"/>
        </w:rPr>
        <w:t>The p</w:t>
      </w:r>
      <w:r w:rsidR="008B5B83">
        <w:rPr>
          <w:rFonts w:ascii="Arial" w:eastAsia="Times New Roman" w:hAnsi="Arial" w:cs="Arial"/>
        </w:rPr>
        <w:t>roduct</w:t>
      </w:r>
      <w:r w:rsidR="000E6A25">
        <w:rPr>
          <w:rFonts w:ascii="Arial" w:eastAsia="Times New Roman" w:hAnsi="Arial" w:cs="Arial"/>
        </w:rPr>
        <w:t xml:space="preserve"> was</w:t>
      </w:r>
      <w:r w:rsidR="008B5B83">
        <w:rPr>
          <w:rFonts w:ascii="Arial" w:eastAsia="Times New Roman" w:hAnsi="Arial" w:cs="Arial"/>
        </w:rPr>
        <w:t xml:space="preserve"> authored incorrectly</w:t>
      </w:r>
      <w:r w:rsidR="007F4CBC">
        <w:rPr>
          <w:rFonts w:ascii="Arial" w:eastAsia="Times New Roman" w:hAnsi="Arial" w:cs="Arial"/>
        </w:rPr>
        <w:t xml:space="preserve"> and has been</w:t>
      </w:r>
      <w:r w:rsidR="008B5B83">
        <w:rPr>
          <w:rFonts w:ascii="Arial" w:eastAsia="Times New Roman" w:hAnsi="Arial" w:cs="Arial"/>
        </w:rPr>
        <w:t xml:space="preserve"> </w:t>
      </w:r>
      <w:r w:rsidR="00F5626C">
        <w:rPr>
          <w:rFonts w:ascii="Arial" w:eastAsia="Times New Roman" w:hAnsi="Arial" w:cs="Arial"/>
        </w:rPr>
        <w:t>reauthored under a new VMP.</w:t>
      </w:r>
    </w:p>
    <w:p w14:paraId="1B8DC70F" w14:textId="77777777" w:rsidR="00024F40" w:rsidRDefault="00024F4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FE1BF30" w14:textId="40D6D035" w:rsidR="00C15494" w:rsidRDefault="00C15494" w:rsidP="0059015A">
      <w:pPr>
        <w:autoSpaceDE w:val="0"/>
        <w:autoSpaceDN w:val="0"/>
        <w:adjustRightInd w:val="0"/>
        <w:rPr>
          <w:rFonts w:ascii="Arial" w:eastAsia="Times New Roman" w:hAnsi="Arial" w:cs="Arial"/>
        </w:rPr>
      </w:pPr>
    </w:p>
    <w:p w14:paraId="0BFE5900" w14:textId="21BEFD65" w:rsidR="00467F9F" w:rsidRDefault="00467F9F" w:rsidP="0059015A">
      <w:pPr>
        <w:autoSpaceDE w:val="0"/>
        <w:autoSpaceDN w:val="0"/>
        <w:adjustRightInd w:val="0"/>
        <w:rPr>
          <w:rFonts w:ascii="Arial" w:eastAsia="Times New Roman" w:hAnsi="Arial" w:cs="Arial"/>
        </w:rPr>
      </w:pPr>
    </w:p>
    <w:p w14:paraId="370BC6F6" w14:textId="77777777" w:rsidR="00467F9F" w:rsidRDefault="00467F9F" w:rsidP="0059015A">
      <w:pPr>
        <w:autoSpaceDE w:val="0"/>
        <w:autoSpaceDN w:val="0"/>
        <w:adjustRightInd w:val="0"/>
        <w:rPr>
          <w:rFonts w:ascii="Arial" w:eastAsia="Times New Roman" w:hAnsi="Arial" w:cs="Arial"/>
        </w:rPr>
      </w:pPr>
    </w:p>
    <w:p w14:paraId="63C021C5" w14:textId="77777777" w:rsidR="001903F0" w:rsidRDefault="0059015A" w:rsidP="0059015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w:t>
      </w:r>
      <w:r w:rsidR="00C53ABE">
        <w:rPr>
          <w:rFonts w:ascii="Arial" w:eastAsia="Times New Roman" w:hAnsi="Arial" w:cs="Arial"/>
        </w:rPr>
        <w:t xml:space="preserve">in </w:t>
      </w:r>
      <w:r>
        <w:rPr>
          <w:rFonts w:ascii="Arial" w:eastAsia="Times New Roman" w:hAnsi="Arial" w:cs="Arial"/>
        </w:rPr>
        <w:t xml:space="preserve">mid-Aug. </w:t>
      </w:r>
      <w:r w:rsidR="00C53ABE">
        <w:rPr>
          <w:rFonts w:ascii="Arial" w:eastAsia="Times New Roman" w:hAnsi="Arial" w:cs="Arial"/>
        </w:rPr>
        <w:t>The p</w:t>
      </w:r>
      <w:r>
        <w:rPr>
          <w:rFonts w:ascii="Arial" w:eastAsia="Times New Roman" w:hAnsi="Arial" w:cs="Arial"/>
        </w:rPr>
        <w:t>roduct</w:t>
      </w:r>
      <w:r w:rsidR="00C53ABE">
        <w:rPr>
          <w:rFonts w:ascii="Arial" w:eastAsia="Times New Roman" w:hAnsi="Arial" w:cs="Arial"/>
        </w:rPr>
        <w:t xml:space="preserve"> was</w:t>
      </w:r>
      <w:r>
        <w:rPr>
          <w:rFonts w:ascii="Arial" w:eastAsia="Times New Roman" w:hAnsi="Arial" w:cs="Arial"/>
        </w:rPr>
        <w:t xml:space="preserve"> authored incorrectly </w:t>
      </w:r>
    </w:p>
    <w:p w14:paraId="55228312" w14:textId="4453F3E3" w:rsidR="0059015A" w:rsidRDefault="00CD6537" w:rsidP="0059015A">
      <w:pPr>
        <w:autoSpaceDE w:val="0"/>
        <w:autoSpaceDN w:val="0"/>
        <w:adjustRightInd w:val="0"/>
        <w:rPr>
          <w:rFonts w:ascii="Arial" w:eastAsia="Times New Roman" w:hAnsi="Arial" w:cs="Arial"/>
        </w:rPr>
      </w:pPr>
      <w:r>
        <w:rPr>
          <w:rFonts w:ascii="Arial" w:eastAsia="Times New Roman" w:hAnsi="Arial" w:cs="Arial"/>
        </w:rPr>
        <w:t xml:space="preserve">and has been </w:t>
      </w:r>
      <w:r w:rsidR="0059015A">
        <w:rPr>
          <w:rFonts w:ascii="Arial" w:eastAsia="Times New Roman" w:hAnsi="Arial" w:cs="Arial"/>
        </w:rPr>
        <w:t>reauthored under a new VMP.</w:t>
      </w:r>
    </w:p>
    <w:p w14:paraId="21235C36" w14:textId="5CDC7D13" w:rsidR="0037146C" w:rsidRDefault="0037146C" w:rsidP="00BB7C98">
      <w:pPr>
        <w:autoSpaceDE w:val="0"/>
        <w:autoSpaceDN w:val="0"/>
        <w:adjustRightInd w:val="0"/>
        <w:rPr>
          <w:rFonts w:ascii="Arial" w:eastAsia="Times New Roman" w:hAnsi="Arial" w:cs="Arial"/>
        </w:rPr>
      </w:pPr>
    </w:p>
    <w:p w14:paraId="11B71B12" w14:textId="38963ADC" w:rsidR="001903F0" w:rsidRDefault="001903F0" w:rsidP="00BB7C98">
      <w:pPr>
        <w:autoSpaceDE w:val="0"/>
        <w:autoSpaceDN w:val="0"/>
        <w:adjustRightInd w:val="0"/>
        <w:rPr>
          <w:rFonts w:ascii="Arial" w:eastAsia="Times New Roman" w:hAnsi="Arial" w:cs="Arial"/>
        </w:rPr>
      </w:pPr>
    </w:p>
    <w:p w14:paraId="765CE209" w14:textId="77777777" w:rsidR="001903F0" w:rsidRDefault="001903F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3030B8">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3030B8">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31326292" w14:textId="6458647C" w:rsidR="00BB5CFB" w:rsidRDefault="00BB5CFB" w:rsidP="005B4345">
      <w:pPr>
        <w:autoSpaceDE w:val="0"/>
        <w:autoSpaceDN w:val="0"/>
        <w:adjustRightInd w:val="0"/>
        <w:rPr>
          <w:rFonts w:ascii="Arial" w:eastAsia="Times New Roman" w:hAnsi="Arial" w:cs="Arial"/>
        </w:rPr>
      </w:pPr>
    </w:p>
    <w:p w14:paraId="2E13D492" w14:textId="49CEB19E" w:rsidR="001903F0" w:rsidRDefault="001903F0" w:rsidP="005B4345">
      <w:pPr>
        <w:autoSpaceDE w:val="0"/>
        <w:autoSpaceDN w:val="0"/>
        <w:adjustRightInd w:val="0"/>
        <w:rPr>
          <w:rFonts w:ascii="Arial" w:eastAsia="Times New Roman" w:hAnsi="Arial" w:cs="Arial"/>
        </w:rPr>
      </w:pPr>
    </w:p>
    <w:p w14:paraId="1980C64E" w14:textId="77777777" w:rsidR="001903F0" w:rsidRDefault="001903F0" w:rsidP="005B4345">
      <w:pPr>
        <w:autoSpaceDE w:val="0"/>
        <w:autoSpaceDN w:val="0"/>
        <w:adjustRightInd w:val="0"/>
        <w:rPr>
          <w:rFonts w:ascii="Arial" w:eastAsia="Times New Roman" w:hAnsi="Arial" w:cs="Arial"/>
        </w:rPr>
      </w:pPr>
    </w:p>
    <w:p w14:paraId="5F523841" w14:textId="48A64DDD" w:rsidR="005B4345" w:rsidRDefault="005B4345"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4C133E05" w14:textId="7C4451E2" w:rsidR="0037146C" w:rsidRDefault="0037146C" w:rsidP="005B4345">
      <w:pPr>
        <w:autoSpaceDE w:val="0"/>
        <w:autoSpaceDN w:val="0"/>
        <w:adjustRightInd w:val="0"/>
        <w:rPr>
          <w:rFonts w:ascii="Arial" w:eastAsia="Times New Roman" w:hAnsi="Arial" w:cs="Arial"/>
        </w:rPr>
      </w:pPr>
    </w:p>
    <w:p w14:paraId="64064A1A" w14:textId="6055C326" w:rsidR="001903F0" w:rsidRDefault="001903F0" w:rsidP="005B4345">
      <w:pPr>
        <w:autoSpaceDE w:val="0"/>
        <w:autoSpaceDN w:val="0"/>
        <w:adjustRightInd w:val="0"/>
        <w:rPr>
          <w:rFonts w:ascii="Arial" w:eastAsia="Times New Roman" w:hAnsi="Arial" w:cs="Arial"/>
        </w:rPr>
      </w:pPr>
    </w:p>
    <w:p w14:paraId="552C84BC" w14:textId="77777777" w:rsidR="001903F0" w:rsidRDefault="001903F0"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Schollmed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40015D9F" w14:textId="36BAEFF2" w:rsidR="009126EC" w:rsidRDefault="009126EC" w:rsidP="005B4345">
      <w:pPr>
        <w:autoSpaceDE w:val="0"/>
        <w:autoSpaceDN w:val="0"/>
        <w:adjustRightInd w:val="0"/>
        <w:rPr>
          <w:rFonts w:ascii="Arial" w:eastAsia="Times New Roman" w:hAnsi="Arial" w:cs="Arial"/>
        </w:rPr>
      </w:pPr>
    </w:p>
    <w:p w14:paraId="4BC305AD" w14:textId="77777777" w:rsidR="001903F0" w:rsidRDefault="001903F0" w:rsidP="005B4345">
      <w:pPr>
        <w:autoSpaceDE w:val="0"/>
        <w:autoSpaceDN w:val="0"/>
        <w:adjustRightInd w:val="0"/>
        <w:rPr>
          <w:rFonts w:ascii="Arial" w:eastAsia="Times New Roman" w:hAnsi="Arial" w:cs="Arial"/>
        </w:rPr>
      </w:pPr>
    </w:p>
    <w:p w14:paraId="6C40034C" w14:textId="77777777" w:rsidR="001903F0" w:rsidRDefault="001903F0" w:rsidP="005B4345">
      <w:pPr>
        <w:autoSpaceDE w:val="0"/>
        <w:autoSpaceDN w:val="0"/>
        <w:adjustRightInd w:val="0"/>
        <w:rPr>
          <w:rFonts w:ascii="Arial" w:eastAsia="Times New Roman" w:hAnsi="Arial" w:cs="Arial"/>
        </w:rPr>
      </w:pPr>
    </w:p>
    <w:p w14:paraId="0AE940B7" w14:textId="77777777" w:rsidR="001903F0" w:rsidRDefault="001903F0" w:rsidP="005B4345">
      <w:pPr>
        <w:autoSpaceDE w:val="0"/>
        <w:autoSpaceDN w:val="0"/>
        <w:adjustRightInd w:val="0"/>
        <w:rPr>
          <w:rFonts w:ascii="Arial" w:eastAsia="Times New Roman" w:hAnsi="Arial" w:cs="Arial"/>
        </w:rPr>
      </w:pPr>
    </w:p>
    <w:p w14:paraId="73F2BDF7" w14:textId="77777777" w:rsidR="001903F0" w:rsidRDefault="001903F0" w:rsidP="005B4345">
      <w:pPr>
        <w:autoSpaceDE w:val="0"/>
        <w:autoSpaceDN w:val="0"/>
        <w:adjustRightInd w:val="0"/>
        <w:rPr>
          <w:rFonts w:ascii="Arial" w:eastAsia="Times New Roman" w:hAnsi="Arial" w:cs="Arial"/>
        </w:rPr>
      </w:pPr>
    </w:p>
    <w:p w14:paraId="28A2B8F5" w14:textId="77777777" w:rsidR="001903F0" w:rsidRDefault="001903F0" w:rsidP="005B4345">
      <w:pPr>
        <w:autoSpaceDE w:val="0"/>
        <w:autoSpaceDN w:val="0"/>
        <w:adjustRightInd w:val="0"/>
        <w:rPr>
          <w:rFonts w:ascii="Arial" w:eastAsia="Times New Roman" w:hAnsi="Arial" w:cs="Arial"/>
        </w:rPr>
      </w:pPr>
    </w:p>
    <w:p w14:paraId="23E4D4CC" w14:textId="77777777" w:rsidR="001903F0" w:rsidRDefault="001903F0" w:rsidP="005B4345">
      <w:pPr>
        <w:autoSpaceDE w:val="0"/>
        <w:autoSpaceDN w:val="0"/>
        <w:adjustRightInd w:val="0"/>
        <w:rPr>
          <w:rFonts w:ascii="Arial" w:eastAsia="Times New Roman" w:hAnsi="Arial" w:cs="Arial"/>
        </w:rPr>
      </w:pPr>
    </w:p>
    <w:p w14:paraId="336718B9" w14:textId="77777777" w:rsidR="001903F0" w:rsidRDefault="001903F0" w:rsidP="005B4345">
      <w:pPr>
        <w:autoSpaceDE w:val="0"/>
        <w:autoSpaceDN w:val="0"/>
        <w:adjustRightInd w:val="0"/>
        <w:rPr>
          <w:rFonts w:ascii="Arial" w:eastAsia="Times New Roman" w:hAnsi="Arial" w:cs="Arial"/>
        </w:rPr>
      </w:pPr>
    </w:p>
    <w:p w14:paraId="5D7911DA" w14:textId="77777777" w:rsidR="001903F0" w:rsidRDefault="001903F0" w:rsidP="005B4345">
      <w:pPr>
        <w:autoSpaceDE w:val="0"/>
        <w:autoSpaceDN w:val="0"/>
        <w:adjustRightInd w:val="0"/>
        <w:rPr>
          <w:rFonts w:ascii="Arial" w:eastAsia="Times New Roman" w:hAnsi="Arial" w:cs="Arial"/>
        </w:rPr>
      </w:pPr>
    </w:p>
    <w:p w14:paraId="3291A231" w14:textId="77777777" w:rsidR="001903F0" w:rsidRDefault="001903F0" w:rsidP="005B4345">
      <w:pPr>
        <w:autoSpaceDE w:val="0"/>
        <w:autoSpaceDN w:val="0"/>
        <w:adjustRightInd w:val="0"/>
        <w:rPr>
          <w:rFonts w:ascii="Arial" w:eastAsia="Times New Roman" w:hAnsi="Arial" w:cs="Arial"/>
        </w:rPr>
      </w:pPr>
    </w:p>
    <w:p w14:paraId="04522B2E" w14:textId="77777777" w:rsidR="001903F0" w:rsidRDefault="001903F0" w:rsidP="005B4345">
      <w:pPr>
        <w:autoSpaceDE w:val="0"/>
        <w:autoSpaceDN w:val="0"/>
        <w:adjustRightInd w:val="0"/>
        <w:rPr>
          <w:rFonts w:ascii="Arial" w:eastAsia="Times New Roman" w:hAnsi="Arial" w:cs="Arial"/>
        </w:rPr>
      </w:pPr>
    </w:p>
    <w:p w14:paraId="7EDF48C4" w14:textId="77777777" w:rsidR="001903F0" w:rsidRDefault="001903F0" w:rsidP="005B4345">
      <w:pPr>
        <w:autoSpaceDE w:val="0"/>
        <w:autoSpaceDN w:val="0"/>
        <w:adjustRightInd w:val="0"/>
        <w:rPr>
          <w:rFonts w:ascii="Arial" w:eastAsia="Times New Roman" w:hAnsi="Arial" w:cs="Arial"/>
        </w:rPr>
      </w:pPr>
    </w:p>
    <w:p w14:paraId="72968124" w14:textId="77777777" w:rsidR="001903F0" w:rsidRDefault="001903F0" w:rsidP="005B4345">
      <w:pPr>
        <w:autoSpaceDE w:val="0"/>
        <w:autoSpaceDN w:val="0"/>
        <w:adjustRightInd w:val="0"/>
        <w:rPr>
          <w:rFonts w:ascii="Arial" w:eastAsia="Times New Roman" w:hAnsi="Arial" w:cs="Arial"/>
        </w:rPr>
      </w:pPr>
    </w:p>
    <w:p w14:paraId="679FC404" w14:textId="56F79185"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59C32359" w14:textId="77777777" w:rsidR="00751F58" w:rsidRDefault="00751F58" w:rsidP="001D0C97">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r>
              <w:rPr>
                <w:rFonts w:ascii="Arial" w:hAnsi="Arial" w:cs="Arial"/>
                <w:sz w:val="20"/>
                <w:szCs w:val="20"/>
              </w:rPr>
              <w:t>Amsacrine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91233A">
              <w:rPr>
                <w:rFonts w:ascii="Arial" w:hAnsi="Arial" w:cs="Arial"/>
                <w:sz w:val="20"/>
                <w:szCs w:val="20"/>
                <w:lang w:eastAsia="en-GB"/>
              </w:rPr>
              <w:t>Amsidine 75mg/1.5ml solution for infusion ampoules and dilutent (</w:t>
            </w:r>
            <w:r w:rsidR="0051023E">
              <w:rPr>
                <w:rFonts w:ascii="Arial" w:hAnsi="Arial" w:cs="Arial"/>
                <w:sz w:val="20"/>
                <w:szCs w:val="20"/>
                <w:lang w:eastAsia="en-GB"/>
              </w:rPr>
              <w:t>Eurocept International bv)</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C5DAD" w:rsidRPr="004C5DAD">
              <w:rPr>
                <w:rFonts w:ascii="Arial" w:hAnsi="Arial" w:cs="Arial"/>
                <w:sz w:val="20"/>
                <w:szCs w:val="20"/>
                <w:lang w:eastAsia="en-GB"/>
              </w:rPr>
              <w:t>Amsidine 75mg/1.5ml concentrate and solvent for solution for infusion vials</w:t>
            </w:r>
            <w:r w:rsidR="00D5703C">
              <w:rPr>
                <w:rFonts w:ascii="Arial" w:hAnsi="Arial" w:cs="Arial"/>
                <w:sz w:val="20"/>
                <w:szCs w:val="20"/>
                <w:lang w:eastAsia="en-GB"/>
              </w:rPr>
              <w:t xml:space="preserve"> (Eurocept International bv)</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6F8EE8A1" w14:textId="77777777" w:rsidR="00751F58" w:rsidRDefault="00751F58" w:rsidP="00BB7C98">
      <w:pPr>
        <w:autoSpaceDE w:val="0"/>
        <w:autoSpaceDN w:val="0"/>
        <w:adjustRightInd w:val="0"/>
        <w:rPr>
          <w:rFonts w:ascii="Arial" w:eastAsia="Times New Roman" w:hAnsi="Arial" w:cs="Arial"/>
        </w:rPr>
      </w:pPr>
    </w:p>
    <w:bookmarkEnd w:id="1"/>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CA66" w14:textId="77777777" w:rsidR="00D24388" w:rsidRDefault="00D24388">
      <w:r>
        <w:separator/>
      </w:r>
    </w:p>
  </w:endnote>
  <w:endnote w:type="continuationSeparator" w:id="0">
    <w:p w14:paraId="42702EB7" w14:textId="77777777" w:rsidR="00D24388" w:rsidRDefault="00D24388">
      <w:r>
        <w:continuationSeparator/>
      </w:r>
    </w:p>
  </w:endnote>
  <w:endnote w:type="continuationNotice" w:id="1">
    <w:p w14:paraId="426D78D9" w14:textId="77777777" w:rsidR="00D24388" w:rsidRDefault="00D2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176E" w14:textId="77777777" w:rsidR="00D24388" w:rsidRDefault="00D24388">
      <w:r>
        <w:separator/>
      </w:r>
    </w:p>
  </w:footnote>
  <w:footnote w:type="continuationSeparator" w:id="0">
    <w:p w14:paraId="22FBAD25" w14:textId="77777777" w:rsidR="00D24388" w:rsidRDefault="00D24388">
      <w:r>
        <w:continuationSeparator/>
      </w:r>
    </w:p>
  </w:footnote>
  <w:footnote w:type="continuationNotice" w:id="1">
    <w:p w14:paraId="002FFA59" w14:textId="77777777" w:rsidR="00D24388" w:rsidRDefault="00D2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17B8"/>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4525"/>
    <w:rsid w:val="003E6BDE"/>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BB"/>
    <w:rsid w:val="00432F1F"/>
    <w:rsid w:val="004342DB"/>
    <w:rsid w:val="004347B7"/>
    <w:rsid w:val="00435F8D"/>
    <w:rsid w:val="00442892"/>
    <w:rsid w:val="004438F9"/>
    <w:rsid w:val="00444024"/>
    <w:rsid w:val="00450FE5"/>
    <w:rsid w:val="004558F0"/>
    <w:rsid w:val="00455F8D"/>
    <w:rsid w:val="004561AE"/>
    <w:rsid w:val="00457893"/>
    <w:rsid w:val="00460212"/>
    <w:rsid w:val="00462133"/>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14F8"/>
    <w:rsid w:val="00552A0C"/>
    <w:rsid w:val="00553FC1"/>
    <w:rsid w:val="005562CE"/>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28A2"/>
    <w:rsid w:val="005E5D3F"/>
    <w:rsid w:val="005E5EDA"/>
    <w:rsid w:val="005F1008"/>
    <w:rsid w:val="005F5556"/>
    <w:rsid w:val="00601C2F"/>
    <w:rsid w:val="00603A48"/>
    <w:rsid w:val="006107B4"/>
    <w:rsid w:val="00610A45"/>
    <w:rsid w:val="00610C2E"/>
    <w:rsid w:val="006116B7"/>
    <w:rsid w:val="0061396F"/>
    <w:rsid w:val="00613F07"/>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AA"/>
    <w:rsid w:val="00BF094D"/>
    <w:rsid w:val="00BF5941"/>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9D8"/>
    <w:rsid w:val="00DE1367"/>
    <w:rsid w:val="00DE4A37"/>
    <w:rsid w:val="00DE5643"/>
    <w:rsid w:val="00DE7FF1"/>
    <w:rsid w:val="00DF00EE"/>
    <w:rsid w:val="00DF06FC"/>
    <w:rsid w:val="00DF2CF7"/>
    <w:rsid w:val="00DF5031"/>
    <w:rsid w:val="00DF5817"/>
    <w:rsid w:val="00DF6A19"/>
    <w:rsid w:val="00DF775D"/>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7F26"/>
    <w:rsid w:val="00EC099B"/>
    <w:rsid w:val="00EC1079"/>
    <w:rsid w:val="00EC39DC"/>
    <w:rsid w:val="00EC44AF"/>
    <w:rsid w:val="00EC7CD0"/>
    <w:rsid w:val="00ED0163"/>
    <w:rsid w:val="00ED2842"/>
    <w:rsid w:val="00ED284C"/>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E4FF604-0EE2-4A77-9563-FEA095E5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13</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12</cp:revision>
  <cp:lastPrinted>2022-06-16T19:58:00Z</cp:lastPrinted>
  <dcterms:created xsi:type="dcterms:W3CDTF">2022-08-04T06:27:00Z</dcterms:created>
  <dcterms:modified xsi:type="dcterms:W3CDTF">2022-08-04T09:28:00Z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