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12.149978pt;width:583.35pt;height:134.4pt;mso-position-horizontal-relative:page;mso-position-vertical-relative:page;z-index:-15961600" id="docshapegroup1" coordorigin="240,243" coordsize="11667,2688">
            <v:shape style="position:absolute;left:351;top:461;width:11181;height:2193" type="#_x0000_t75" id="docshape2" stroked="false">
              <v:imagedata r:id="rId5" o:title=""/>
            </v:shape>
            <v:shape style="position:absolute;left:240;top:24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Heading1"/>
        <w:spacing w:before="92"/>
        <w:ind w:left="0" w:right="102"/>
        <w:jc w:val="right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5"/>
        <w:ind w:left="7814" w:right="101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8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spacing w:before="1"/>
        <w:ind w:right="99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right="101"/>
        <w:jc w:val="right"/>
      </w:pPr>
      <w:r>
        <w:rPr/>
        <w:t>0845</w:t>
      </w:r>
      <w:r>
        <w:rPr>
          <w:spacing w:val="-4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77"/>
        <w:jc w:val="right"/>
      </w:pPr>
      <w:hyperlink r:id="rId7">
        <w:r>
          <w:rPr/>
          <w:t>nhsbsa.prescriptionservices@nhs.net</w:t>
        </w:r>
      </w:hyperlink>
    </w:p>
    <w:p>
      <w:pPr>
        <w:pStyle w:val="BodyText"/>
        <w:spacing w:before="26"/>
        <w:ind w:right="103"/>
        <w:jc w:val="right"/>
      </w:pP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3"/>
        <w:ind w:right="147"/>
        <w:jc w:val="right"/>
      </w:pPr>
      <w:r>
        <w:rPr/>
        <w:t>22</w:t>
      </w:r>
      <w:r>
        <w:rPr>
          <w:spacing w:val="-2"/>
        </w:rPr>
        <w:t> </w:t>
      </w:r>
      <w:r>
        <w:rPr/>
        <w:t>November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92"/>
        <w:ind w:left="113"/>
      </w:pPr>
      <w:r>
        <w:rPr/>
        <w:t>VERSION</w:t>
      </w:r>
      <w:r>
        <w:rPr>
          <w:spacing w:val="-4"/>
        </w:rPr>
        <w:t> </w:t>
      </w:r>
      <w:r>
        <w:rPr/>
        <w:t>11.3.0</w:t>
      </w:r>
    </w:p>
    <w:p>
      <w:pPr>
        <w:pStyle w:val="BodyText"/>
      </w:pPr>
    </w:p>
    <w:p>
      <w:pPr>
        <w:pStyle w:val="BodyText"/>
        <w:ind w:left="113"/>
      </w:pPr>
      <w:r>
        <w:rPr/>
        <w:t>Dear</w:t>
      </w:r>
      <w:r>
        <w:rPr>
          <w:spacing w:val="-1"/>
        </w:rPr>
        <w:t> </w:t>
      </w:r>
      <w:r>
        <w:rPr/>
        <w:t>dm+d</w:t>
      </w:r>
      <w:r>
        <w:rPr>
          <w:spacing w:val="-1"/>
        </w:rPr>
        <w:t> </w:t>
      </w:r>
      <w:r>
        <w:rPr/>
        <w:t>User,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Historical</w:t>
      </w:r>
      <w:r>
        <w:rPr>
          <w:spacing w:val="-2"/>
        </w:rPr>
        <w:t> </w:t>
      </w:r>
      <w:r>
        <w:rPr/>
        <w:t>Unit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Measure</w:t>
      </w:r>
      <w:r>
        <w:rPr>
          <w:spacing w:val="-2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Expression</w:t>
      </w:r>
      <w:r>
        <w:rPr>
          <w:spacing w:val="-2"/>
        </w:rPr>
        <w:t> </w:t>
      </w:r>
      <w:r>
        <w:rPr/>
        <w:t>Error</w:t>
      </w:r>
    </w:p>
    <w:p>
      <w:pPr>
        <w:pStyle w:val="BodyText"/>
        <w:rPr>
          <w:b/>
        </w:rPr>
      </w:pPr>
    </w:p>
    <w:p>
      <w:pPr>
        <w:pStyle w:val="BodyText"/>
        <w:ind w:left="113" w:right="1199"/>
      </w:pPr>
      <w:r>
        <w:rPr/>
        <w:t>The Unit of Measure expression in the following VMP Ingredient Details section was</w:t>
      </w:r>
      <w:r>
        <w:rPr>
          <w:spacing w:val="-64"/>
        </w:rPr>
        <w:t> </w:t>
      </w:r>
      <w:r>
        <w:rPr/>
        <w:t>corrected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08/11/2021</w:t>
      </w:r>
      <w:r>
        <w:rPr>
          <w:spacing w:val="4"/>
        </w:rPr>
        <w:t> </w:t>
      </w:r>
      <w:r>
        <w:rPr/>
        <w:t>as</w:t>
      </w:r>
      <w:r>
        <w:rPr>
          <w:spacing w:val="-3"/>
        </w:rPr>
        <w:t> </w:t>
      </w:r>
      <w:r>
        <w:rPr/>
        <w:t>shown:</w:t>
      </w:r>
    </w:p>
    <w:p>
      <w:pPr>
        <w:pStyle w:val="BodyText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6"/>
        <w:gridCol w:w="2298"/>
        <w:gridCol w:w="1482"/>
        <w:gridCol w:w="1467"/>
        <w:gridCol w:w="1482"/>
        <w:gridCol w:w="1479"/>
      </w:tblGrid>
      <w:tr>
        <w:trPr>
          <w:trHeight w:val="1013" w:hRule="atLeast"/>
        </w:trPr>
        <w:tc>
          <w:tcPr>
            <w:tcW w:w="1426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VMP Name</w:t>
            </w:r>
          </w:p>
        </w:tc>
        <w:tc>
          <w:tcPr>
            <w:tcW w:w="2298" w:type="dxa"/>
          </w:tcPr>
          <w:p>
            <w:pPr>
              <w:pStyle w:val="TableParagraph"/>
              <w:spacing w:line="240" w:lineRule="auto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SNOMED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</w:p>
        </w:tc>
        <w:tc>
          <w:tcPr>
            <w:tcW w:w="1482" w:type="dxa"/>
          </w:tcPr>
          <w:p>
            <w:pPr>
              <w:pStyle w:val="TableParagraph"/>
              <w:spacing w:line="240" w:lineRule="auto"/>
              <w:ind w:left="437" w:right="184" w:hanging="233"/>
              <w:rPr>
                <w:b/>
                <w:sz w:val="22"/>
              </w:rPr>
            </w:pPr>
            <w:r>
              <w:rPr>
                <w:b/>
                <w:sz w:val="22"/>
              </w:rPr>
              <w:t>Ingredient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1467" w:type="dxa"/>
          </w:tcPr>
          <w:p>
            <w:pPr>
              <w:pStyle w:val="TableParagraph"/>
              <w:spacing w:line="240" w:lineRule="auto"/>
              <w:ind w:left="105" w:right="452"/>
              <w:rPr>
                <w:b/>
                <w:sz w:val="22"/>
              </w:rPr>
            </w:pPr>
            <w:r>
              <w:rPr>
                <w:b/>
                <w:sz w:val="22"/>
              </w:rPr>
              <w:t>Basis of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strength</w:t>
            </w:r>
          </w:p>
        </w:tc>
        <w:tc>
          <w:tcPr>
            <w:tcW w:w="1482" w:type="dxa"/>
          </w:tcPr>
          <w:p>
            <w:pPr>
              <w:pStyle w:val="TableParagraph"/>
              <w:spacing w:line="240" w:lineRule="auto"/>
              <w:ind w:left="105" w:right="283"/>
              <w:rPr>
                <w:b/>
                <w:sz w:val="22"/>
              </w:rPr>
            </w:pPr>
            <w:r>
              <w:rPr>
                <w:b/>
                <w:sz w:val="22"/>
              </w:rPr>
              <w:t>Ingredient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Strength</w:t>
            </w:r>
          </w:p>
        </w:tc>
        <w:tc>
          <w:tcPr>
            <w:tcW w:w="1479" w:type="dxa"/>
          </w:tcPr>
          <w:p>
            <w:pPr>
              <w:pStyle w:val="TableParagraph"/>
              <w:spacing w:line="240" w:lineRule="auto"/>
              <w:ind w:left="104" w:right="281"/>
              <w:rPr>
                <w:b/>
                <w:sz w:val="22"/>
              </w:rPr>
            </w:pPr>
            <w:r>
              <w:rPr>
                <w:b/>
                <w:sz w:val="22"/>
              </w:rPr>
              <w:t>Ingredient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Strength</w:t>
            </w:r>
          </w:p>
          <w:p>
            <w:pPr>
              <w:pStyle w:val="TableParagraph"/>
              <w:spacing w:line="252" w:lineRule="exact"/>
              <w:ind w:left="104" w:right="452"/>
              <w:rPr>
                <w:b/>
                <w:sz w:val="22"/>
              </w:rPr>
            </w:pPr>
            <w:r>
              <w:rPr>
                <w:b/>
                <w:sz w:val="22"/>
              </w:rPr>
              <w:t>Unit 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Measure</w:t>
            </w:r>
          </w:p>
        </w:tc>
      </w:tr>
      <w:tr>
        <w:trPr>
          <w:trHeight w:val="1770" w:hRule="atLeast"/>
        </w:trPr>
        <w:tc>
          <w:tcPr>
            <w:tcW w:w="1426" w:type="dxa"/>
          </w:tcPr>
          <w:p>
            <w:pPr>
              <w:pStyle w:val="TableParagraph"/>
              <w:spacing w:line="240" w:lineRule="auto"/>
              <w:ind w:left="110" w:right="227"/>
              <w:rPr>
                <w:sz w:val="22"/>
              </w:rPr>
            </w:pPr>
            <w:r>
              <w:rPr>
                <w:sz w:val="22"/>
              </w:rPr>
              <w:t>Morphine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sulfate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1g/25ml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solution for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injection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pre-filled</w:t>
            </w:r>
          </w:p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syringe</w:t>
            </w:r>
          </w:p>
        </w:tc>
        <w:tc>
          <w:tcPr>
            <w:tcW w:w="2298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z w:val="22"/>
              </w:rPr>
              <w:t>22412511000001102</w:t>
            </w:r>
          </w:p>
        </w:tc>
        <w:tc>
          <w:tcPr>
            <w:tcW w:w="1482" w:type="dxa"/>
          </w:tcPr>
          <w:p>
            <w:pPr>
              <w:pStyle w:val="TableParagraph"/>
              <w:spacing w:line="240" w:lineRule="auto"/>
              <w:ind w:left="106" w:right="428"/>
              <w:rPr>
                <w:sz w:val="22"/>
              </w:rPr>
            </w:pPr>
            <w:r>
              <w:rPr>
                <w:sz w:val="22"/>
              </w:rPr>
              <w:t>Morphine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sulfate</w:t>
            </w:r>
          </w:p>
        </w:tc>
        <w:tc>
          <w:tcPr>
            <w:tcW w:w="1467" w:type="dxa"/>
          </w:tcPr>
          <w:p>
            <w:pPr>
              <w:pStyle w:val="TableParagraph"/>
              <w:spacing w:line="240" w:lineRule="auto"/>
              <w:ind w:left="105" w:right="365"/>
              <w:rPr>
                <w:sz w:val="22"/>
              </w:rPr>
            </w:pPr>
            <w:r>
              <w:rPr>
                <w:sz w:val="22"/>
              </w:rPr>
              <w:t>Based on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ingredient</w:t>
            </w:r>
          </w:p>
        </w:tc>
        <w:tc>
          <w:tcPr>
            <w:tcW w:w="1482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479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mg/ml</w:t>
            </w:r>
          </w:p>
        </w:tc>
      </w:tr>
    </w:tbl>
    <w:p>
      <w:pPr>
        <w:pStyle w:val="BodyText"/>
        <w:spacing w:before="11"/>
        <w:rPr>
          <w:sz w:val="21"/>
        </w:rPr>
      </w:pPr>
    </w:p>
    <w:p>
      <w:pPr>
        <w:pStyle w:val="BodyText"/>
        <w:ind w:left="113"/>
      </w:pPr>
      <w:r>
        <w:rPr/>
        <w:t>A</w:t>
      </w:r>
      <w:r>
        <w:rPr>
          <w:spacing w:val="-2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error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found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previously</w:t>
      </w:r>
      <w:r>
        <w:rPr>
          <w:spacing w:val="1"/>
        </w:rPr>
        <w:t> </w:t>
      </w:r>
      <w:r>
        <w:rPr>
          <w:b/>
          <w:u w:val="single"/>
        </w:rPr>
        <w:t>incorrectly</w:t>
      </w:r>
      <w:r>
        <w:rPr>
          <w:b/>
          <w:spacing w:val="-2"/>
        </w:rPr>
        <w:t> </w:t>
      </w:r>
      <w:r>
        <w:rPr/>
        <w:t>expressed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’40</w:t>
      </w:r>
    </w:p>
    <w:p>
      <w:pPr>
        <w:spacing w:before="0"/>
        <w:ind w:left="113" w:right="0" w:firstLine="0"/>
        <w:jc w:val="left"/>
        <w:rPr>
          <w:sz w:val="24"/>
        </w:rPr>
      </w:pPr>
      <w:r>
        <w:rPr>
          <w:b/>
          <w:sz w:val="24"/>
          <w:u w:val="single"/>
        </w:rPr>
        <w:t>microgram</w:t>
      </w:r>
      <w:r>
        <w:rPr>
          <w:sz w:val="24"/>
        </w:rPr>
        <w:t>/ml’.</w:t>
      </w:r>
    </w:p>
    <w:p>
      <w:pPr>
        <w:pStyle w:val="BodyText"/>
        <w:rPr>
          <w:sz w:val="16"/>
        </w:rPr>
      </w:pPr>
    </w:p>
    <w:p>
      <w:pPr>
        <w:pStyle w:val="BodyText"/>
        <w:spacing w:before="93"/>
        <w:ind w:left="113"/>
      </w:pPr>
      <w:r>
        <w:rPr/>
        <w:t>We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recommend</w:t>
      </w:r>
      <w:r>
        <w:rPr>
          <w:spacing w:val="-4"/>
        </w:rPr>
        <w:t> </w:t>
      </w:r>
      <w:r>
        <w:rPr/>
        <w:t>that</w:t>
      </w:r>
      <w:r>
        <w:rPr>
          <w:spacing w:val="2"/>
        </w:rPr>
        <w:t> </w:t>
      </w:r>
      <w:r>
        <w:rPr/>
        <w:t>systems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updated</w:t>
      </w:r>
      <w:r>
        <w:rPr>
          <w:spacing w:val="-1"/>
        </w:rPr>
        <w:t> </w:t>
      </w:r>
      <w:r>
        <w:rPr/>
        <w:t>accordingly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soon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please.</w:t>
      </w:r>
    </w:p>
    <w:p>
      <w:pPr>
        <w:spacing w:after="0"/>
        <w:sectPr>
          <w:type w:val="continuous"/>
          <w:pgSz w:w="11910" w:h="16850"/>
          <w:pgMar w:top="240" w:bottom="280" w:left="1020" w:right="660"/>
        </w:sectPr>
      </w:pPr>
    </w:p>
    <w:p>
      <w:pPr>
        <w:pStyle w:val="Heading1"/>
        <w:spacing w:before="69"/>
      </w:pPr>
      <w:r>
        <w:rPr/>
        <w:t>NHSBSA</w:t>
      </w:r>
      <w:r>
        <w:rPr>
          <w:spacing w:val="-1"/>
        </w:rPr>
        <w:t> </w:t>
      </w:r>
      <w:r>
        <w:rPr/>
        <w:t>Official</w:t>
      </w:r>
      <w:r>
        <w:rPr>
          <w:spacing w:val="-1"/>
        </w:rPr>
        <w:t> </w:t>
      </w:r>
      <w:r>
        <w:rPr/>
        <w:t>dm+d</w:t>
      </w:r>
      <w:r>
        <w:rPr>
          <w:spacing w:val="-1"/>
        </w:rPr>
        <w:t> </w:t>
      </w:r>
      <w:r>
        <w:rPr/>
        <w:t>Browser</w:t>
      </w:r>
      <w:r>
        <w:rPr>
          <w:spacing w:val="-1"/>
        </w:rPr>
        <w:t> </w:t>
      </w:r>
      <w:r>
        <w:rPr/>
        <w:t>Update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3" w:right="532"/>
      </w:pPr>
      <w:r>
        <w:rPr/>
        <w:t>We would like to take this opportunity to inform all of yourselves as registered recipients of</w:t>
      </w:r>
      <w:r>
        <w:rPr>
          <w:spacing w:val="-64"/>
        </w:rPr>
        <w:t> </w:t>
      </w:r>
      <w:r>
        <w:rPr/>
        <w:t>the dm+d files that over the past couple of months, in response to user feedback, many</w:t>
      </w:r>
      <w:r>
        <w:rPr>
          <w:spacing w:val="1"/>
        </w:rPr>
        <w:t> </w:t>
      </w:r>
      <w:r>
        <w:rPr/>
        <w:t>positive changes and updates have been made by NHSBSA Technical Solutions</w:t>
      </w:r>
      <w:r>
        <w:rPr>
          <w:spacing w:val="1"/>
        </w:rPr>
        <w:t> </w:t>
      </w:r>
      <w:r>
        <w:rPr/>
        <w:t>colleagues to the official dm+d browser hosted by the NHSBSA: </w:t>
      </w:r>
      <w:hyperlink r:id="rId9">
        <w:r>
          <w:rPr>
            <w:color w:val="0000FF"/>
            <w:u w:val="single" w:color="0000FF"/>
          </w:rPr>
          <w:t>dm+d browser</w:t>
        </w:r>
      </w:hyperlink>
      <w:r>
        <w:rPr>
          <w:color w:val="0000FF"/>
          <w:spacing w:val="1"/>
        </w:rPr>
        <w:t> </w:t>
      </w:r>
      <w:hyperlink r:id="rId9">
        <w:r>
          <w:rPr>
            <w:color w:val="0000FF"/>
            <w:u w:val="single" w:color="0000FF"/>
          </w:rPr>
          <w:t>(nhsbsa.nhs.uk)</w:t>
        </w:r>
      </w:hyperlink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113" w:right="746"/>
      </w:pPr>
      <w:r>
        <w:rPr/>
        <w:t>The new browser has been developed to try to improve navigation, make it easier for</w:t>
      </w:r>
      <w:r>
        <w:rPr>
          <w:spacing w:val="1"/>
        </w:rPr>
        <w:t> </w:t>
      </w:r>
      <w:r>
        <w:rPr/>
        <w:t>users to find what they’re looking for, permit searching in a variety of ways including</w:t>
      </w:r>
      <w:r>
        <w:rPr>
          <w:spacing w:val="1"/>
        </w:rPr>
        <w:t> </w:t>
      </w:r>
      <w:r>
        <w:rPr/>
        <w:t>searching by partial text terms, GTIN codes, SNOMED codes and ATC codes as well as</w:t>
      </w:r>
      <w:r>
        <w:rPr>
          <w:spacing w:val="-64"/>
        </w:rPr>
        <w:t> </w:t>
      </w:r>
      <w:r>
        <w:rPr/>
        <w:t>being</w:t>
      </w:r>
      <w:r>
        <w:rPr>
          <w:spacing w:val="-2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return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suppliers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containing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ingredient.</w:t>
      </w:r>
    </w:p>
    <w:p>
      <w:pPr>
        <w:pStyle w:val="BodyText"/>
        <w:spacing w:before="1"/>
      </w:pPr>
    </w:p>
    <w:p>
      <w:pPr>
        <w:pStyle w:val="BodyText"/>
        <w:ind w:left="113" w:right="1172"/>
      </w:pPr>
      <w:r>
        <w:rPr/>
        <w:t>Thanks for all your invaluable feedback so far and if you have further comments and</w:t>
      </w:r>
      <w:r>
        <w:rPr>
          <w:spacing w:val="-65"/>
        </w:rPr>
        <w:t> </w:t>
      </w:r>
      <w:r>
        <w:rPr/>
        <w:t>suggestions,</w:t>
      </w:r>
      <w:r>
        <w:rPr>
          <w:spacing w:val="-3"/>
        </w:rPr>
        <w:t> </w:t>
      </w:r>
      <w:r>
        <w:rPr/>
        <w:t>please</w:t>
      </w:r>
      <w:r>
        <w:rPr>
          <w:spacing w:val="-2"/>
        </w:rPr>
        <w:t> </w:t>
      </w:r>
      <w:r>
        <w:rPr/>
        <w:t>email:</w:t>
      </w:r>
      <w:r>
        <w:rPr>
          <w:spacing w:val="2"/>
        </w:rPr>
        <w:t> </w:t>
      </w:r>
      <w:hyperlink r:id="rId10">
        <w:r>
          <w:rPr>
            <w:color w:val="0000FF"/>
            <w:u w:val="single" w:color="0000FF"/>
          </w:rPr>
          <w:t>nhsbsa.cdrsupport@nhs.net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1"/>
        <w:spacing w:before="92"/>
      </w:pPr>
      <w:r>
        <w:rPr>
          <w:u w:val="single"/>
        </w:rPr>
        <w:t>Update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the authoring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Senna</w:t>
      </w:r>
      <w:r>
        <w:rPr>
          <w:spacing w:val="-1"/>
          <w:u w:val="single"/>
        </w:rPr>
        <w:t> </w:t>
      </w:r>
      <w:r>
        <w:rPr>
          <w:u w:val="single"/>
        </w:rPr>
        <w:t>/</w:t>
      </w:r>
      <w:r>
        <w:rPr>
          <w:spacing w:val="-2"/>
          <w:u w:val="single"/>
        </w:rPr>
        <w:t> </w:t>
      </w:r>
      <w:r>
        <w:rPr>
          <w:u w:val="single"/>
        </w:rPr>
        <w:t>Sennoside containing</w:t>
      </w:r>
      <w:r>
        <w:rPr>
          <w:spacing w:val="-2"/>
          <w:u w:val="single"/>
        </w:rPr>
        <w:t> </w:t>
      </w:r>
      <w:r>
        <w:rPr>
          <w:u w:val="single"/>
        </w:rPr>
        <w:t>Products on dm+d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92"/>
        <w:ind w:left="113" w:right="785"/>
      </w:pPr>
      <w:r>
        <w:rPr/>
        <w:t>Following an MHRA ‘Over-the-counter stimulant laxatives: benefit-risk review’, several</w:t>
      </w:r>
      <w:r>
        <w:rPr>
          <w:spacing w:val="1"/>
        </w:rPr>
        <w:t> </w:t>
      </w:r>
      <w:r>
        <w:rPr/>
        <w:t>recommendations were made. These included companies being requested to revise the</w:t>
      </w:r>
      <w:r>
        <w:rPr>
          <w:spacing w:val="-64"/>
        </w:rPr>
        <w:t> </w:t>
      </w:r>
      <w:r>
        <w:rPr/>
        <w:t>product</w:t>
      </w:r>
      <w:r>
        <w:rPr>
          <w:spacing w:val="-4"/>
        </w:rPr>
        <w:t> </w:t>
      </w:r>
      <w:r>
        <w:rPr/>
        <w:t>names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reflect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age</w:t>
      </w:r>
      <w:r>
        <w:rPr>
          <w:spacing w:val="-1"/>
        </w:rPr>
        <w:t> </w:t>
      </w:r>
      <w:r>
        <w:rPr/>
        <w:t>group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e.g.,</w:t>
      </w:r>
      <w:r>
        <w:rPr>
          <w:spacing w:val="-3"/>
        </w:rPr>
        <w:t> </w:t>
      </w:r>
      <w:r>
        <w:rPr/>
        <w:t>Senna</w:t>
      </w:r>
    </w:p>
    <w:p>
      <w:pPr>
        <w:pStyle w:val="BodyText"/>
        <w:ind w:left="113"/>
      </w:pPr>
      <w:r>
        <w:rPr/>
        <w:t>7.5</w:t>
      </w:r>
      <w:r>
        <w:rPr>
          <w:spacing w:val="-3"/>
        </w:rPr>
        <w:t> </w:t>
      </w:r>
      <w:r>
        <w:rPr/>
        <w:t>mg</w:t>
      </w:r>
      <w:r>
        <w:rPr>
          <w:spacing w:val="-3"/>
        </w:rPr>
        <w:t> </w:t>
      </w:r>
      <w:r>
        <w:rPr/>
        <w:t>tablets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Years</w:t>
      </w:r>
      <w:r>
        <w:rPr>
          <w:spacing w:val="-2"/>
        </w:rPr>
        <w:t> </w:t>
      </w:r>
      <w:r>
        <w:rPr/>
        <w:t>Plus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Senna</w:t>
      </w:r>
      <w:r>
        <w:rPr>
          <w:spacing w:val="-4"/>
        </w:rPr>
        <w:t> </w:t>
      </w:r>
      <w:r>
        <w:rPr/>
        <w:t>7.5</w:t>
      </w:r>
      <w:r>
        <w:rPr>
          <w:spacing w:val="-2"/>
        </w:rPr>
        <w:t> </w:t>
      </w:r>
      <w:r>
        <w:rPr/>
        <w:t>mg</w:t>
      </w:r>
      <w:r>
        <w:rPr>
          <w:spacing w:val="-4"/>
        </w:rPr>
        <w:t> </w:t>
      </w:r>
      <w:r>
        <w:rPr/>
        <w:t>tablets</w:t>
      </w:r>
      <w:r>
        <w:rPr>
          <w:spacing w:val="-1"/>
        </w:rPr>
        <w:t> </w:t>
      </w:r>
      <w:r>
        <w:rPr/>
        <w:t>Adults.</w:t>
      </w:r>
      <w:r>
        <w:rPr>
          <w:spacing w:val="6"/>
        </w:rPr>
        <w:t> </w:t>
      </w:r>
      <w:r>
        <w:rPr>
          <w:color w:val="0A0C0C"/>
        </w:rPr>
        <w:t>The</w:t>
      </w:r>
      <w:r>
        <w:rPr>
          <w:color w:val="0A0C0C"/>
          <w:spacing w:val="-3"/>
        </w:rPr>
        <w:t> </w:t>
      </w:r>
      <w:r>
        <w:rPr>
          <w:color w:val="0A0C0C"/>
        </w:rPr>
        <w:t>legal</w:t>
      </w:r>
      <w:r>
        <w:rPr>
          <w:color w:val="0A0C0C"/>
          <w:spacing w:val="-2"/>
        </w:rPr>
        <w:t> </w:t>
      </w:r>
      <w:r>
        <w:rPr>
          <w:color w:val="0A0C0C"/>
        </w:rPr>
        <w:t>classification</w:t>
      </w:r>
      <w:r>
        <w:rPr>
          <w:color w:val="0A0C0C"/>
          <w:spacing w:val="-1"/>
        </w:rPr>
        <w:t> </w:t>
      </w:r>
      <w:r>
        <w:rPr>
          <w:color w:val="0A0C0C"/>
        </w:rPr>
        <w:t>i.e.,</w:t>
      </w:r>
    </w:p>
    <w:p>
      <w:pPr>
        <w:pStyle w:val="BodyText"/>
        <w:spacing w:before="1"/>
        <w:ind w:left="113" w:right="785"/>
      </w:pPr>
      <w:r>
        <w:rPr>
          <w:color w:val="0A0C0C"/>
        </w:rPr>
        <w:t>P, GSL and POM; pack sizes and label warnings were also revised. </w:t>
      </w:r>
      <w:r>
        <w:rPr/>
        <w:t>Other</w:t>
      </w:r>
      <w:r>
        <w:rPr>
          <w:spacing w:val="1"/>
        </w:rPr>
        <w:t> </w:t>
      </w:r>
      <w:r>
        <w:rPr/>
        <w:t>recommendations were made too e.g., products labelled ‘Senna’ must contain senna</w:t>
      </w:r>
      <w:r>
        <w:rPr>
          <w:spacing w:val="1"/>
        </w:rPr>
        <w:t> </w:t>
      </w:r>
      <w:r>
        <w:rPr/>
        <w:t>leaves or pods in accordance with the Official Title from the British Pharmacopoeia</w:t>
      </w:r>
      <w:r>
        <w:rPr>
          <w:spacing w:val="1"/>
        </w:rPr>
        <w:t> </w:t>
      </w:r>
      <w:r>
        <w:rPr/>
        <w:t>monograph and products containing sennosides (as calcium salts) as the active</w:t>
      </w:r>
      <w:r>
        <w:rPr>
          <w:spacing w:val="1"/>
        </w:rPr>
        <w:t> </w:t>
      </w:r>
      <w:r>
        <w:rPr/>
        <w:t>substances cannot be labelled senna but instead will be licensed as ‘sennosides’. For</w:t>
      </w:r>
      <w:r>
        <w:rPr>
          <w:spacing w:val="1"/>
        </w:rPr>
        <w:t> </w:t>
      </w:r>
      <w:r>
        <w:rPr/>
        <w:t>more information see </w:t>
      </w:r>
      <w:hyperlink r:id="rId11">
        <w:r>
          <w:rPr>
            <w:color w:val="005EA4"/>
            <w:u w:val="single" w:color="005EA4"/>
          </w:rPr>
          <w:t>Public Assessment Report of over-the-counter stimulant laxatives:</w:t>
        </w:r>
      </w:hyperlink>
      <w:r>
        <w:rPr>
          <w:color w:val="005EA4"/>
          <w:spacing w:val="-64"/>
        </w:rPr>
        <w:t> </w:t>
      </w:r>
      <w:hyperlink r:id="rId11">
        <w:r>
          <w:rPr>
            <w:color w:val="005EA4"/>
            <w:u w:val="single" w:color="005EA4"/>
          </w:rPr>
          <w:t>benefit-risk</w:t>
        </w:r>
        <w:r>
          <w:rPr>
            <w:color w:val="005EA4"/>
            <w:spacing w:val="-1"/>
            <w:u w:val="single" w:color="005EA4"/>
          </w:rPr>
          <w:t> </w:t>
        </w:r>
        <w:r>
          <w:rPr>
            <w:color w:val="005EA4"/>
            <w:u w:val="single" w:color="005EA4"/>
          </w:rPr>
          <w:t>review</w:t>
        </w:r>
      </w:hyperlink>
    </w:p>
    <w:p>
      <w:pPr>
        <w:pStyle w:val="BodyText"/>
        <w:rPr>
          <w:sz w:val="18"/>
        </w:rPr>
      </w:pPr>
    </w:p>
    <w:p>
      <w:pPr>
        <w:pStyle w:val="BodyText"/>
        <w:spacing w:before="93"/>
        <w:ind w:left="113" w:right="817"/>
      </w:pPr>
      <w:r>
        <w:rPr/>
        <w:t>We have been reviewing the data we host in dm+d and we have been contacting all the</w:t>
      </w:r>
      <w:r>
        <w:rPr>
          <w:spacing w:val="-65"/>
        </w:rPr>
        <w:t> </w:t>
      </w:r>
      <w:r>
        <w:rPr/>
        <w:t>companies we have recorded who are engaged with the supply of senna / sennoside</w:t>
      </w:r>
      <w:r>
        <w:rPr>
          <w:spacing w:val="1"/>
        </w:rPr>
        <w:t> </w:t>
      </w:r>
      <w:r>
        <w:rPr/>
        <w:t>containing</w:t>
      </w:r>
      <w:r>
        <w:rPr>
          <w:spacing w:val="-2"/>
        </w:rPr>
        <w:t> </w:t>
      </w:r>
      <w:r>
        <w:rPr/>
        <w:t>products for up-to-date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13" w:right="585"/>
      </w:pPr>
      <w:r>
        <w:rPr/>
        <w:t>To summarise, several updates are therefore needing to be made to dm+d (from VTM to</w:t>
      </w:r>
      <w:r>
        <w:rPr>
          <w:spacing w:val="1"/>
        </w:rPr>
        <w:t> </w:t>
      </w:r>
      <w:r>
        <w:rPr/>
        <w:t>AMPP levels) to support these recommendations and this communication just shares with</w:t>
      </w:r>
      <w:r>
        <w:rPr>
          <w:spacing w:val="-65"/>
        </w:rPr>
        <w:t> </w:t>
      </w:r>
      <w:r>
        <w:rPr/>
        <w:t>you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this is</w:t>
      </w:r>
      <w:r>
        <w:rPr>
          <w:spacing w:val="-1"/>
        </w:rPr>
        <w:t> </w:t>
      </w:r>
      <w:r>
        <w:rPr/>
        <w:t>work in</w:t>
      </w:r>
      <w:r>
        <w:rPr>
          <w:spacing w:val="-3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that we</w:t>
      </w:r>
      <w:r>
        <w:rPr>
          <w:spacing w:val="-3"/>
        </w:rPr>
        <w:t> </w:t>
      </w:r>
      <w:r>
        <w:rPr/>
        <w:t>are beginning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make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changes.</w:t>
      </w:r>
    </w:p>
    <w:p>
      <w:pPr>
        <w:spacing w:after="0"/>
        <w:sectPr>
          <w:pgSz w:w="11910" w:h="16850"/>
          <w:pgMar w:top="1340" w:bottom="280" w:left="1020" w:right="660"/>
        </w:sectPr>
      </w:pPr>
    </w:p>
    <w:p>
      <w:pPr>
        <w:pStyle w:val="Heading1"/>
        <w:ind w:right="760"/>
      </w:pPr>
      <w:r>
        <w:rPr/>
        <w:t>DHSC require these concepts to be made available and visible (similar to licensed</w:t>
      </w:r>
      <w:r>
        <w:rPr>
          <w:spacing w:val="-64"/>
        </w:rPr>
        <w:t> </w:t>
      </w:r>
      <w:r>
        <w:rPr/>
        <w:t>medicines)</w:t>
      </w:r>
      <w:r>
        <w:rPr>
          <w:spacing w:val="-1"/>
        </w:rPr>
        <w:t> </w:t>
      </w:r>
      <w:r>
        <w:rPr/>
        <w:t>in prescribing</w:t>
      </w:r>
      <w:r>
        <w:rPr>
          <w:spacing w:val="-1"/>
        </w:rPr>
        <w:t> </w:t>
      </w:r>
      <w:r>
        <w:rPr/>
        <w:t>and dispensing</w:t>
      </w:r>
      <w:r>
        <w:rPr>
          <w:spacing w:val="-3"/>
        </w:rPr>
        <w:t> </w:t>
      </w:r>
      <w:r>
        <w:rPr/>
        <w:t>systems for</w:t>
      </w:r>
      <w:r>
        <w:rPr>
          <w:spacing w:val="-1"/>
        </w:rPr>
        <w:t> </w:t>
      </w:r>
      <w:r>
        <w:rPr/>
        <w:t>the time</w:t>
      </w:r>
      <w:r>
        <w:rPr>
          <w:spacing w:val="-3"/>
        </w:rPr>
        <w:t> </w:t>
      </w:r>
      <w:r>
        <w:rPr/>
        <w:t>being.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2395"/>
        <w:gridCol w:w="1985"/>
        <w:gridCol w:w="1277"/>
      </w:tblGrid>
      <w:tr>
        <w:trPr>
          <w:trHeight w:val="316" w:hRule="atLeast"/>
        </w:trPr>
        <w:tc>
          <w:tcPr>
            <w:tcW w:w="9622" w:type="dxa"/>
            <w:gridSpan w:val="4"/>
          </w:tcPr>
          <w:p>
            <w:pPr>
              <w:pStyle w:val="TableParagraph"/>
              <w:spacing w:line="292" w:lineRule="exact"/>
              <w:ind w:left="6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Specials/Imports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added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at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request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DHSC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mitigate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shortages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supply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chain</w:t>
            </w:r>
          </w:p>
        </w:tc>
      </w:tr>
      <w:tr>
        <w:trPr>
          <w:trHeight w:val="803" w:hRule="atLeast"/>
        </w:trPr>
        <w:tc>
          <w:tcPr>
            <w:tcW w:w="3965" w:type="dxa"/>
          </w:tcPr>
          <w:p>
            <w:pPr>
              <w:pStyle w:val="TableParagraph"/>
              <w:spacing w:line="268" w:lineRule="exact"/>
              <w:ind w:left="1446" w:right="143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Name</w:t>
            </w:r>
          </w:p>
        </w:tc>
        <w:tc>
          <w:tcPr>
            <w:tcW w:w="2395" w:type="dxa"/>
          </w:tcPr>
          <w:p>
            <w:pPr>
              <w:pStyle w:val="TableParagraph"/>
              <w:spacing w:line="268" w:lineRule="exact"/>
              <w:ind w:left="27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 SNOMED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Code</w:t>
            </w:r>
          </w:p>
        </w:tc>
        <w:tc>
          <w:tcPr>
            <w:tcW w:w="1985" w:type="dxa"/>
          </w:tcPr>
          <w:p>
            <w:pPr>
              <w:pStyle w:val="TableParagraph"/>
              <w:spacing w:line="268" w:lineRule="exact"/>
              <w:ind w:left="3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Import/Special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317" w:right="286" w:firstLine="6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dm+d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extract</w:t>
            </w:r>
          </w:p>
          <w:p>
            <w:pPr>
              <w:pStyle w:val="TableParagraph"/>
              <w:spacing w:line="247" w:lineRule="exact"/>
              <w:ind w:left="43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date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38955011000001100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38996011000001101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38947211000001100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39000111000001109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38957911000001106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38958211000001103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38958411000001104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Fluoxetine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38962111000001102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Fluoxetine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38962311000001100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betaine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707mg 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39069011000001104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39069211000001109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39069611000001106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39124811000001107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(Canada)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07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39125011000001102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(Netherlands)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38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39125211000001107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575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317"/>
              <w:rPr>
                <w:sz w:val="20"/>
              </w:rPr>
            </w:pPr>
            <w:r>
              <w:rPr>
                <w:sz w:val="20"/>
              </w:rPr>
              <w:t>Haloperidol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5mg/5ml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39125711000001100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77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Concentrate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100mg/1ml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39132811000001104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39132211000001100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58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left="110"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39132411000001101</w:t>
            </w:r>
          </w:p>
        </w:tc>
        <w:tc>
          <w:tcPr>
            <w:tcW w:w="1985" w:type="dxa"/>
          </w:tcPr>
          <w:p>
            <w:pPr>
              <w:pStyle w:val="TableParagraph"/>
              <w:spacing w:line="228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(Denmark)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Trifluoperazine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1mg/5ml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suspension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39148811000001101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16/11/2020</w:t>
            </w:r>
          </w:p>
        </w:tc>
      </w:tr>
      <w:tr>
        <w:trPr>
          <w:trHeight w:val="457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left="110" w:right="258"/>
              <w:rPr>
                <w:sz w:val="20"/>
              </w:rPr>
            </w:pPr>
            <w:r>
              <w:rPr>
                <w:sz w:val="20"/>
              </w:rPr>
              <w:t>Mestranol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50microgram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Norethisterone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1mg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39229711000001101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09/12/2020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35"/>
              <w:rPr>
                <w:sz w:val="20"/>
              </w:rPr>
            </w:pPr>
            <w:r>
              <w:rPr>
                <w:sz w:val="20"/>
              </w:rPr>
              <w:t>Chloral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hydrate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143.3mg/5ml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BP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39517711000001107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12/04/2021</w:t>
            </w:r>
          </w:p>
        </w:tc>
      </w:tr>
      <w:tr>
        <w:trPr>
          <w:trHeight w:val="357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Clonidine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100microgram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39943911000001103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02/08/2021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50"/>
          <w:pgMar w:top="1060" w:bottom="280" w:left="1020" w:right="660"/>
        </w:sectPr>
      </w:pPr>
    </w:p>
    <w:p>
      <w:pPr>
        <w:spacing w:before="72"/>
        <w:ind w:left="11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Invalidations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before="92"/>
        <w:ind w:left="113"/>
      </w:pPr>
      <w:r>
        <w:rPr/>
        <w:t>None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0"/>
      </w:pPr>
      <w:r>
        <w:rPr>
          <w:u w:val="single"/>
        </w:rPr>
        <w:t>Advance</w:t>
      </w:r>
      <w:r>
        <w:rPr>
          <w:spacing w:val="-3"/>
          <w:u w:val="single"/>
        </w:rPr>
        <w:t> </w:t>
      </w:r>
      <w:r>
        <w:rPr>
          <w:u w:val="single"/>
        </w:rPr>
        <w:t>Notice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Invalidations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93"/>
        <w:ind w:left="113"/>
      </w:pPr>
      <w:r>
        <w:rPr/>
        <w:t>None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13"/>
      </w:pPr>
      <w:r>
        <w:rPr/>
        <w:t>Kind</w:t>
      </w:r>
      <w:r>
        <w:rPr>
          <w:spacing w:val="-1"/>
        </w:rPr>
        <w:t> </w:t>
      </w:r>
      <w:r>
        <w:rPr/>
        <w:t>regards</w:t>
      </w:r>
    </w:p>
    <w:p>
      <w:pPr>
        <w:pStyle w:val="BodyText"/>
        <w:ind w:left="113"/>
      </w:pPr>
      <w:r>
        <w:rPr/>
        <w:t>dm+d</w:t>
      </w:r>
      <w:r>
        <w:rPr>
          <w:spacing w:val="-5"/>
        </w:rPr>
        <w:t> </w:t>
      </w:r>
      <w:r>
        <w:rPr/>
        <w:t>Authoring</w:t>
      </w:r>
      <w:r>
        <w:rPr>
          <w:spacing w:val="-3"/>
        </w:rPr>
        <w:t> </w:t>
      </w:r>
      <w:r>
        <w:rPr/>
        <w:t>Team</w:t>
      </w:r>
    </w:p>
    <w:sectPr>
      <w:pgSz w:w="11910" w:h="16850"/>
      <w:pgMar w:top="1060" w:bottom="280" w:left="10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13"/>
      <w:outlineLvl w:val="1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  <w:ind w:left="108"/>
    </w:pPr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" TargetMode="External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hyperlink" Target="mailto:nhsbsa.prescriptionservices@nhs.net" TargetMode="External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urldefense.proofpoint.com/v2/url?u=https-3A__www.gov.uk_government_publications_public-2Dassessment-2Dreport-2Dof-2Dover-2Dthe-2Dcounter-2Dstimulant-2Dlaxatives-2Dbenefit-2Drisk-2Dreview-3Futm-5Fsource-3D47902a60-2Dd06d-2D454e-2D93d6-2Dab61f60ea321-26utm-5Fmedium-3Demail-26utm-5Fcampaign-3Dgovuk-2Dnotifications-26utm-5Fcontent-3Dimmediate&amp;d=DwMFaQ&amp;c=bXyEFqpHx20PVepeYtwgeyo6Hxa8iNFcGZACCQj1uNM&amp;r=kCEbaDDPMDXBGlNMDrFI0Gcax76c3xnLKRy_T8xRk3E&amp;m=obCnfZj1RGe2sqiOrvapIyu5yw8J9tW3DEaK-8mRM8U&amp;s=InlyiVUWeb2Lfx2yk67UFVM5bixtzgZRumcwhwvoqQ4&amp;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nhsbsa.cdrsupport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s.nhsbsa.nhs.uk/dmd-browser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15ACF9-480F-4030-A876-C1E253FC3B64}"/>
</file>

<file path=customXml/itemProps2.xml><?xml version="1.0" encoding="utf-8"?>
<ds:datastoreItem xmlns:ds="http://schemas.openxmlformats.org/officeDocument/2006/customXml" ds:itemID="{8D124D4F-4AD8-40E4-97F7-B53B6CEEB3BE}"/>
</file>

<file path=customXml/itemProps3.xml><?xml version="1.0" encoding="utf-8"?>
<ds:datastoreItem xmlns:ds="http://schemas.openxmlformats.org/officeDocument/2006/customXml" ds:itemID="{B8CA174C-318B-4646-AF95-7EBA18D804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creator>obiobaku</dc:creator>
  <dcterms:created xsi:type="dcterms:W3CDTF">2022-01-05T13:25:11Z</dcterms:created>
  <dcterms:modified xsi:type="dcterms:W3CDTF">2022-01-05T13:25:11Z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0x010100BF73ED8CEB028B418702403224B5E0A0</vt:lpwstr>
  </property>
</Properties>
</file>