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A9" w:rsidRDefault="006349A9" w:rsidP="00C95D26">
      <w:pPr>
        <w:jc w:val="center"/>
        <w:rPr>
          <w:b/>
          <w:color w:val="005EB8"/>
          <w:sz w:val="52"/>
          <w:szCs w:val="88"/>
        </w:rPr>
      </w:pPr>
    </w:p>
    <w:p w:rsidR="00906B65" w:rsidRPr="00FF79F6" w:rsidRDefault="00906B65" w:rsidP="00C95D26">
      <w:pPr>
        <w:jc w:val="center"/>
        <w:rPr>
          <w:b/>
          <w:color w:val="005EB8"/>
          <w:sz w:val="52"/>
          <w:szCs w:val="88"/>
        </w:rPr>
      </w:pPr>
      <w:r w:rsidRPr="00FF79F6">
        <w:rPr>
          <w:b/>
          <w:color w:val="005EB8"/>
          <w:sz w:val="52"/>
          <w:szCs w:val="88"/>
        </w:rPr>
        <w:t>ePACT2</w:t>
      </w:r>
      <w:r w:rsidR="00C95D26" w:rsidRPr="00FF79F6">
        <w:rPr>
          <w:b/>
          <w:color w:val="005EB8"/>
          <w:sz w:val="52"/>
          <w:szCs w:val="88"/>
        </w:rPr>
        <w:t xml:space="preserve"> </w:t>
      </w:r>
      <w:r w:rsidR="005848D3" w:rsidRPr="00FF79F6">
        <w:rPr>
          <w:b/>
          <w:color w:val="005EB8"/>
          <w:sz w:val="52"/>
          <w:szCs w:val="88"/>
        </w:rPr>
        <w:t xml:space="preserve">User </w:t>
      </w:r>
      <w:r w:rsidR="00C95D26" w:rsidRPr="00FF79F6">
        <w:rPr>
          <w:b/>
          <w:color w:val="005EB8"/>
          <w:sz w:val="52"/>
          <w:szCs w:val="88"/>
        </w:rPr>
        <w:t>Guide</w:t>
      </w:r>
    </w:p>
    <w:p w:rsidR="004A00B8" w:rsidRDefault="001020E1" w:rsidP="0007409D">
      <w:pPr>
        <w:pStyle w:val="GuideTitle"/>
      </w:pPr>
      <w:r>
        <w:t>Reconciling Your Invoice</w:t>
      </w:r>
    </w:p>
    <w:p w:rsidR="00F74DFB" w:rsidRPr="0007409D" w:rsidRDefault="00F74DFB" w:rsidP="0007409D">
      <w:pPr>
        <w:pStyle w:val="GuideTitle"/>
      </w:pPr>
      <w:r>
        <w:t>Prior to April 2015</w:t>
      </w:r>
    </w:p>
    <w:p w:rsidR="0007409D" w:rsidRPr="00C95D26" w:rsidRDefault="0007409D" w:rsidP="0007409D"/>
    <w:tbl>
      <w:tblPr>
        <w:tblStyle w:val="TableGrid"/>
        <w:tblW w:w="0" w:type="auto"/>
        <w:tblLook w:val="04A0" w:firstRow="1" w:lastRow="0" w:firstColumn="1" w:lastColumn="0" w:noHBand="0" w:noVBand="1"/>
      </w:tblPr>
      <w:tblGrid>
        <w:gridCol w:w="9242"/>
      </w:tblGrid>
      <w:tr w:rsidR="00182FE6" w:rsidTr="00182FE6">
        <w:tc>
          <w:tcPr>
            <w:tcW w:w="9242" w:type="dxa"/>
            <w:shd w:val="clear" w:color="auto" w:fill="D9D9D9" w:themeFill="background1" w:themeFillShade="D9"/>
          </w:tcPr>
          <w:p w:rsidR="00182FE6" w:rsidRDefault="00182FE6" w:rsidP="00A66FC5">
            <w:pPr>
              <w:pStyle w:val="TOCHeading"/>
            </w:pPr>
            <w:r>
              <w:t>Contents</w:t>
            </w:r>
          </w:p>
          <w:p w:rsidR="00F74DFB" w:rsidRDefault="00682471">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20385397" w:history="1">
              <w:r w:rsidR="00F74DFB" w:rsidRPr="00D26368">
                <w:rPr>
                  <w:rStyle w:val="Hyperlink"/>
                  <w:noProof/>
                </w:rPr>
                <w:t>Accessing the Systems Required</w:t>
              </w:r>
              <w:r w:rsidR="00F74DFB">
                <w:rPr>
                  <w:noProof/>
                  <w:webHidden/>
                </w:rPr>
                <w:tab/>
              </w:r>
              <w:r w:rsidR="00F74DFB">
                <w:rPr>
                  <w:noProof/>
                  <w:webHidden/>
                </w:rPr>
                <w:fldChar w:fldCharType="begin"/>
              </w:r>
              <w:r w:rsidR="00F74DFB">
                <w:rPr>
                  <w:noProof/>
                  <w:webHidden/>
                </w:rPr>
                <w:instrText xml:space="preserve"> PAGEREF _Toc520385397 \h </w:instrText>
              </w:r>
              <w:r w:rsidR="00F74DFB">
                <w:rPr>
                  <w:noProof/>
                  <w:webHidden/>
                </w:rPr>
              </w:r>
              <w:r w:rsidR="00F74DFB">
                <w:rPr>
                  <w:noProof/>
                  <w:webHidden/>
                </w:rPr>
                <w:fldChar w:fldCharType="separate"/>
              </w:r>
              <w:r w:rsidR="00F74DFB">
                <w:rPr>
                  <w:noProof/>
                  <w:webHidden/>
                </w:rPr>
                <w:t>1</w:t>
              </w:r>
              <w:r w:rsidR="00F74DFB">
                <w:rPr>
                  <w:noProof/>
                  <w:webHidden/>
                </w:rPr>
                <w:fldChar w:fldCharType="end"/>
              </w:r>
            </w:hyperlink>
          </w:p>
          <w:p w:rsidR="00F74DFB" w:rsidRDefault="00F74DFB">
            <w:pPr>
              <w:pStyle w:val="TOC1"/>
              <w:rPr>
                <w:rFonts w:asciiTheme="minorHAnsi" w:eastAsiaTheme="minorEastAsia" w:hAnsiTheme="minorHAnsi" w:cstheme="minorBidi"/>
                <w:noProof/>
                <w:sz w:val="22"/>
                <w:szCs w:val="22"/>
                <w:lang w:eastAsia="en-GB"/>
              </w:rPr>
            </w:pPr>
            <w:hyperlink w:anchor="_Toc520385398" w:history="1">
              <w:r w:rsidRPr="00D26368">
                <w:rPr>
                  <w:rStyle w:val="Hyperlink"/>
                  <w:noProof/>
                </w:rPr>
                <w:t>Invoice Received</w:t>
              </w:r>
              <w:r>
                <w:rPr>
                  <w:noProof/>
                  <w:webHidden/>
                </w:rPr>
                <w:tab/>
              </w:r>
              <w:r>
                <w:rPr>
                  <w:noProof/>
                  <w:webHidden/>
                </w:rPr>
                <w:fldChar w:fldCharType="begin"/>
              </w:r>
              <w:r>
                <w:rPr>
                  <w:noProof/>
                  <w:webHidden/>
                </w:rPr>
                <w:instrText xml:space="preserve"> PAGEREF _Toc520385398 \h </w:instrText>
              </w:r>
              <w:r>
                <w:rPr>
                  <w:noProof/>
                  <w:webHidden/>
                </w:rPr>
              </w:r>
              <w:r>
                <w:rPr>
                  <w:noProof/>
                  <w:webHidden/>
                </w:rPr>
                <w:fldChar w:fldCharType="separate"/>
              </w:r>
              <w:r>
                <w:rPr>
                  <w:noProof/>
                  <w:webHidden/>
                </w:rPr>
                <w:t>1</w:t>
              </w:r>
              <w:r>
                <w:rPr>
                  <w:noProof/>
                  <w:webHidden/>
                </w:rPr>
                <w:fldChar w:fldCharType="end"/>
              </w:r>
            </w:hyperlink>
          </w:p>
          <w:p w:rsidR="00F74DFB" w:rsidRDefault="00F74DFB">
            <w:pPr>
              <w:pStyle w:val="TOC1"/>
              <w:rPr>
                <w:rFonts w:asciiTheme="minorHAnsi" w:eastAsiaTheme="minorEastAsia" w:hAnsiTheme="minorHAnsi" w:cstheme="minorBidi"/>
                <w:noProof/>
                <w:sz w:val="22"/>
                <w:szCs w:val="22"/>
                <w:lang w:eastAsia="en-GB"/>
              </w:rPr>
            </w:pPr>
            <w:hyperlink w:anchor="_Toc520385399" w:history="1">
              <w:r w:rsidRPr="00D26368">
                <w:rPr>
                  <w:rStyle w:val="Hyperlink"/>
                  <w:noProof/>
                </w:rPr>
                <w:t>Finding the IPP and Remuneration Reports</w:t>
              </w:r>
              <w:r>
                <w:rPr>
                  <w:noProof/>
                  <w:webHidden/>
                </w:rPr>
                <w:tab/>
              </w:r>
              <w:r>
                <w:rPr>
                  <w:noProof/>
                  <w:webHidden/>
                </w:rPr>
                <w:fldChar w:fldCharType="begin"/>
              </w:r>
              <w:r>
                <w:rPr>
                  <w:noProof/>
                  <w:webHidden/>
                </w:rPr>
                <w:instrText xml:space="preserve"> PAGEREF _Toc520385399 \h </w:instrText>
              </w:r>
              <w:r>
                <w:rPr>
                  <w:noProof/>
                  <w:webHidden/>
                </w:rPr>
              </w:r>
              <w:r>
                <w:rPr>
                  <w:noProof/>
                  <w:webHidden/>
                </w:rPr>
                <w:fldChar w:fldCharType="separate"/>
              </w:r>
              <w:r>
                <w:rPr>
                  <w:noProof/>
                  <w:webHidden/>
                </w:rPr>
                <w:t>2</w:t>
              </w:r>
              <w:r>
                <w:rPr>
                  <w:noProof/>
                  <w:webHidden/>
                </w:rPr>
                <w:fldChar w:fldCharType="end"/>
              </w:r>
            </w:hyperlink>
          </w:p>
          <w:p w:rsidR="00F74DFB" w:rsidRDefault="00F74DFB">
            <w:pPr>
              <w:pStyle w:val="TOC1"/>
              <w:rPr>
                <w:rFonts w:asciiTheme="minorHAnsi" w:eastAsiaTheme="minorEastAsia" w:hAnsiTheme="minorHAnsi" w:cstheme="minorBidi"/>
                <w:noProof/>
                <w:sz w:val="22"/>
                <w:szCs w:val="22"/>
                <w:lang w:eastAsia="en-GB"/>
              </w:rPr>
            </w:pPr>
            <w:hyperlink w:anchor="_Toc520385400" w:history="1">
              <w:r w:rsidRPr="00D26368">
                <w:rPr>
                  <w:rStyle w:val="Hyperlink"/>
                  <w:noProof/>
                </w:rPr>
                <w:t>Using the Itemised Prescribing Report (IPP)</w:t>
              </w:r>
              <w:r>
                <w:rPr>
                  <w:noProof/>
                  <w:webHidden/>
                </w:rPr>
                <w:tab/>
              </w:r>
              <w:r>
                <w:rPr>
                  <w:noProof/>
                  <w:webHidden/>
                </w:rPr>
                <w:fldChar w:fldCharType="begin"/>
              </w:r>
              <w:r>
                <w:rPr>
                  <w:noProof/>
                  <w:webHidden/>
                </w:rPr>
                <w:instrText xml:space="preserve"> PAGEREF _Toc520385400 \h </w:instrText>
              </w:r>
              <w:r>
                <w:rPr>
                  <w:noProof/>
                  <w:webHidden/>
                </w:rPr>
              </w:r>
              <w:r>
                <w:rPr>
                  <w:noProof/>
                  <w:webHidden/>
                </w:rPr>
                <w:fldChar w:fldCharType="separate"/>
              </w:r>
              <w:r>
                <w:rPr>
                  <w:noProof/>
                  <w:webHidden/>
                </w:rPr>
                <w:t>3</w:t>
              </w:r>
              <w:r>
                <w:rPr>
                  <w:noProof/>
                  <w:webHidden/>
                </w:rPr>
                <w:fldChar w:fldCharType="end"/>
              </w:r>
            </w:hyperlink>
          </w:p>
          <w:p w:rsidR="00F74DFB" w:rsidRDefault="00F74DFB">
            <w:pPr>
              <w:pStyle w:val="TOC2"/>
              <w:tabs>
                <w:tab w:val="right" w:leader="dot" w:pos="9016"/>
              </w:tabs>
              <w:rPr>
                <w:rFonts w:asciiTheme="minorHAnsi" w:eastAsiaTheme="minorEastAsia" w:hAnsiTheme="minorHAnsi" w:cstheme="minorBidi"/>
                <w:noProof/>
                <w:sz w:val="22"/>
                <w:szCs w:val="22"/>
                <w:lang w:eastAsia="en-GB"/>
              </w:rPr>
            </w:pPr>
            <w:hyperlink w:anchor="_Toc520385401" w:history="1">
              <w:r w:rsidRPr="00D26368">
                <w:rPr>
                  <w:rStyle w:val="Hyperlink"/>
                  <w:noProof/>
                </w:rPr>
                <w:t>Comm. /Prov. Overview</w:t>
              </w:r>
              <w:r>
                <w:rPr>
                  <w:noProof/>
                  <w:webHidden/>
                </w:rPr>
                <w:tab/>
              </w:r>
              <w:r>
                <w:rPr>
                  <w:noProof/>
                  <w:webHidden/>
                </w:rPr>
                <w:fldChar w:fldCharType="begin"/>
              </w:r>
              <w:r>
                <w:rPr>
                  <w:noProof/>
                  <w:webHidden/>
                </w:rPr>
                <w:instrText xml:space="preserve"> PAGEREF _Toc520385401 \h </w:instrText>
              </w:r>
              <w:r>
                <w:rPr>
                  <w:noProof/>
                  <w:webHidden/>
                </w:rPr>
              </w:r>
              <w:r>
                <w:rPr>
                  <w:noProof/>
                  <w:webHidden/>
                </w:rPr>
                <w:fldChar w:fldCharType="separate"/>
              </w:r>
              <w:r>
                <w:rPr>
                  <w:noProof/>
                  <w:webHidden/>
                </w:rPr>
                <w:t>4</w:t>
              </w:r>
              <w:r>
                <w:rPr>
                  <w:noProof/>
                  <w:webHidden/>
                </w:rPr>
                <w:fldChar w:fldCharType="end"/>
              </w:r>
            </w:hyperlink>
          </w:p>
          <w:p w:rsidR="00F74DFB" w:rsidRDefault="00F74DFB">
            <w:pPr>
              <w:pStyle w:val="TOC2"/>
              <w:tabs>
                <w:tab w:val="right" w:leader="dot" w:pos="9016"/>
              </w:tabs>
              <w:rPr>
                <w:rFonts w:asciiTheme="minorHAnsi" w:eastAsiaTheme="minorEastAsia" w:hAnsiTheme="minorHAnsi" w:cstheme="minorBidi"/>
                <w:noProof/>
                <w:sz w:val="22"/>
                <w:szCs w:val="22"/>
                <w:lang w:eastAsia="en-GB"/>
              </w:rPr>
            </w:pPr>
            <w:hyperlink w:anchor="_Toc520385402" w:history="1">
              <w:r w:rsidRPr="00D26368">
                <w:rPr>
                  <w:rStyle w:val="Hyperlink"/>
                  <w:noProof/>
                </w:rPr>
                <w:t>Comm. / Prov. Individual</w:t>
              </w:r>
              <w:r>
                <w:rPr>
                  <w:noProof/>
                  <w:webHidden/>
                </w:rPr>
                <w:tab/>
              </w:r>
              <w:r>
                <w:rPr>
                  <w:noProof/>
                  <w:webHidden/>
                </w:rPr>
                <w:fldChar w:fldCharType="begin"/>
              </w:r>
              <w:r>
                <w:rPr>
                  <w:noProof/>
                  <w:webHidden/>
                </w:rPr>
                <w:instrText xml:space="preserve"> PAGEREF _Toc520385402 \h </w:instrText>
              </w:r>
              <w:r>
                <w:rPr>
                  <w:noProof/>
                  <w:webHidden/>
                </w:rPr>
              </w:r>
              <w:r>
                <w:rPr>
                  <w:noProof/>
                  <w:webHidden/>
                </w:rPr>
                <w:fldChar w:fldCharType="separate"/>
              </w:r>
              <w:r>
                <w:rPr>
                  <w:noProof/>
                  <w:webHidden/>
                </w:rPr>
                <w:t>5</w:t>
              </w:r>
              <w:r>
                <w:rPr>
                  <w:noProof/>
                  <w:webHidden/>
                </w:rPr>
                <w:fldChar w:fldCharType="end"/>
              </w:r>
            </w:hyperlink>
          </w:p>
          <w:p w:rsidR="00F74DFB" w:rsidRDefault="00F74DFB">
            <w:pPr>
              <w:pStyle w:val="TOC1"/>
              <w:rPr>
                <w:rFonts w:asciiTheme="minorHAnsi" w:eastAsiaTheme="minorEastAsia" w:hAnsiTheme="minorHAnsi" w:cstheme="minorBidi"/>
                <w:noProof/>
                <w:sz w:val="22"/>
                <w:szCs w:val="22"/>
                <w:lang w:eastAsia="en-GB"/>
              </w:rPr>
            </w:pPr>
            <w:hyperlink w:anchor="_Toc520385403" w:history="1">
              <w:r w:rsidRPr="00D26368">
                <w:rPr>
                  <w:rStyle w:val="Hyperlink"/>
                  <w:noProof/>
                </w:rPr>
                <w:t>Using the Remuneration Reports</w:t>
              </w:r>
              <w:r>
                <w:rPr>
                  <w:noProof/>
                  <w:webHidden/>
                </w:rPr>
                <w:tab/>
              </w:r>
              <w:r>
                <w:rPr>
                  <w:noProof/>
                  <w:webHidden/>
                </w:rPr>
                <w:fldChar w:fldCharType="begin"/>
              </w:r>
              <w:r>
                <w:rPr>
                  <w:noProof/>
                  <w:webHidden/>
                </w:rPr>
                <w:instrText xml:space="preserve"> PAGEREF _Toc520385403 \h </w:instrText>
              </w:r>
              <w:r>
                <w:rPr>
                  <w:noProof/>
                  <w:webHidden/>
                </w:rPr>
              </w:r>
              <w:r>
                <w:rPr>
                  <w:noProof/>
                  <w:webHidden/>
                </w:rPr>
                <w:fldChar w:fldCharType="separate"/>
              </w:r>
              <w:r>
                <w:rPr>
                  <w:noProof/>
                  <w:webHidden/>
                </w:rPr>
                <w:t>7</w:t>
              </w:r>
              <w:r>
                <w:rPr>
                  <w:noProof/>
                  <w:webHidden/>
                </w:rPr>
                <w:fldChar w:fldCharType="end"/>
              </w:r>
            </w:hyperlink>
          </w:p>
          <w:p w:rsidR="00F74DFB" w:rsidRDefault="00F74DFB">
            <w:pPr>
              <w:pStyle w:val="TOC2"/>
              <w:tabs>
                <w:tab w:val="right" w:leader="dot" w:pos="9016"/>
              </w:tabs>
              <w:rPr>
                <w:rFonts w:asciiTheme="minorHAnsi" w:eastAsiaTheme="minorEastAsia" w:hAnsiTheme="minorHAnsi" w:cstheme="minorBidi"/>
                <w:noProof/>
                <w:sz w:val="22"/>
                <w:szCs w:val="22"/>
                <w:lang w:eastAsia="en-GB"/>
              </w:rPr>
            </w:pPr>
            <w:hyperlink w:anchor="_Toc520385404" w:history="1">
              <w:r w:rsidRPr="00D26368">
                <w:rPr>
                  <w:rStyle w:val="Hyperlink"/>
                  <w:noProof/>
                </w:rPr>
                <w:t>Remuneration Values</w:t>
              </w:r>
              <w:r>
                <w:rPr>
                  <w:noProof/>
                  <w:webHidden/>
                </w:rPr>
                <w:tab/>
              </w:r>
              <w:r>
                <w:rPr>
                  <w:noProof/>
                  <w:webHidden/>
                </w:rPr>
                <w:fldChar w:fldCharType="begin"/>
              </w:r>
              <w:r>
                <w:rPr>
                  <w:noProof/>
                  <w:webHidden/>
                </w:rPr>
                <w:instrText xml:space="preserve"> PAGEREF _Toc520385404 \h </w:instrText>
              </w:r>
              <w:r>
                <w:rPr>
                  <w:noProof/>
                  <w:webHidden/>
                </w:rPr>
              </w:r>
              <w:r>
                <w:rPr>
                  <w:noProof/>
                  <w:webHidden/>
                </w:rPr>
                <w:fldChar w:fldCharType="separate"/>
              </w:r>
              <w:r>
                <w:rPr>
                  <w:noProof/>
                  <w:webHidden/>
                </w:rPr>
                <w:t>7</w:t>
              </w:r>
              <w:r>
                <w:rPr>
                  <w:noProof/>
                  <w:webHidden/>
                </w:rPr>
                <w:fldChar w:fldCharType="end"/>
              </w:r>
            </w:hyperlink>
          </w:p>
          <w:p w:rsidR="00F74DFB" w:rsidRDefault="00F74DFB">
            <w:pPr>
              <w:pStyle w:val="TOC3"/>
              <w:tabs>
                <w:tab w:val="right" w:leader="dot" w:pos="9016"/>
              </w:tabs>
              <w:rPr>
                <w:rFonts w:asciiTheme="minorHAnsi" w:eastAsiaTheme="minorEastAsia" w:hAnsiTheme="minorHAnsi" w:cstheme="minorBidi"/>
                <w:noProof/>
                <w:szCs w:val="22"/>
                <w:lang w:eastAsia="en-GB"/>
              </w:rPr>
            </w:pPr>
            <w:hyperlink w:anchor="_Toc520385405" w:history="1">
              <w:r w:rsidRPr="00D26368">
                <w:rPr>
                  <w:rStyle w:val="Hyperlink"/>
                  <w:noProof/>
                </w:rPr>
                <w:t>Summary</w:t>
              </w:r>
              <w:r>
                <w:rPr>
                  <w:noProof/>
                  <w:webHidden/>
                </w:rPr>
                <w:tab/>
              </w:r>
              <w:r>
                <w:rPr>
                  <w:noProof/>
                  <w:webHidden/>
                </w:rPr>
                <w:fldChar w:fldCharType="begin"/>
              </w:r>
              <w:r>
                <w:rPr>
                  <w:noProof/>
                  <w:webHidden/>
                </w:rPr>
                <w:instrText xml:space="preserve"> PAGEREF _Toc520385405 \h </w:instrText>
              </w:r>
              <w:r>
                <w:rPr>
                  <w:noProof/>
                  <w:webHidden/>
                </w:rPr>
              </w:r>
              <w:r>
                <w:rPr>
                  <w:noProof/>
                  <w:webHidden/>
                </w:rPr>
                <w:fldChar w:fldCharType="separate"/>
              </w:r>
              <w:r>
                <w:rPr>
                  <w:noProof/>
                  <w:webHidden/>
                </w:rPr>
                <w:t>7</w:t>
              </w:r>
              <w:r>
                <w:rPr>
                  <w:noProof/>
                  <w:webHidden/>
                </w:rPr>
                <w:fldChar w:fldCharType="end"/>
              </w:r>
            </w:hyperlink>
          </w:p>
          <w:p w:rsidR="00F74DFB" w:rsidRDefault="00F74DFB">
            <w:pPr>
              <w:pStyle w:val="TOC3"/>
              <w:tabs>
                <w:tab w:val="right" w:leader="dot" w:pos="9016"/>
              </w:tabs>
              <w:rPr>
                <w:rFonts w:asciiTheme="minorHAnsi" w:eastAsiaTheme="minorEastAsia" w:hAnsiTheme="minorHAnsi" w:cstheme="minorBidi"/>
                <w:noProof/>
                <w:szCs w:val="22"/>
                <w:lang w:eastAsia="en-GB"/>
              </w:rPr>
            </w:pPr>
            <w:hyperlink w:anchor="_Toc520385406" w:history="1">
              <w:r w:rsidRPr="00D26368">
                <w:rPr>
                  <w:rStyle w:val="Hyperlink"/>
                  <w:noProof/>
                </w:rPr>
                <w:t>Itemised Listing</w:t>
              </w:r>
              <w:r>
                <w:rPr>
                  <w:noProof/>
                  <w:webHidden/>
                </w:rPr>
                <w:tab/>
              </w:r>
              <w:r>
                <w:rPr>
                  <w:noProof/>
                  <w:webHidden/>
                </w:rPr>
                <w:fldChar w:fldCharType="begin"/>
              </w:r>
              <w:r>
                <w:rPr>
                  <w:noProof/>
                  <w:webHidden/>
                </w:rPr>
                <w:instrText xml:space="preserve"> PAGEREF _Toc520385406 \h </w:instrText>
              </w:r>
              <w:r>
                <w:rPr>
                  <w:noProof/>
                  <w:webHidden/>
                </w:rPr>
              </w:r>
              <w:r>
                <w:rPr>
                  <w:noProof/>
                  <w:webHidden/>
                </w:rPr>
                <w:fldChar w:fldCharType="separate"/>
              </w:r>
              <w:r>
                <w:rPr>
                  <w:noProof/>
                  <w:webHidden/>
                </w:rPr>
                <w:t>9</w:t>
              </w:r>
              <w:r>
                <w:rPr>
                  <w:noProof/>
                  <w:webHidden/>
                </w:rPr>
                <w:fldChar w:fldCharType="end"/>
              </w:r>
            </w:hyperlink>
          </w:p>
          <w:p w:rsidR="00F74DFB" w:rsidRDefault="00F74DFB">
            <w:pPr>
              <w:pStyle w:val="TOC3"/>
              <w:tabs>
                <w:tab w:val="right" w:leader="dot" w:pos="9016"/>
              </w:tabs>
              <w:rPr>
                <w:rFonts w:asciiTheme="minorHAnsi" w:eastAsiaTheme="minorEastAsia" w:hAnsiTheme="minorHAnsi" w:cstheme="minorBidi"/>
                <w:noProof/>
                <w:szCs w:val="22"/>
                <w:lang w:eastAsia="en-GB"/>
              </w:rPr>
            </w:pPr>
            <w:hyperlink w:anchor="_Toc520385407" w:history="1">
              <w:r w:rsidRPr="00D26368">
                <w:rPr>
                  <w:rStyle w:val="Hyperlink"/>
                  <w:noProof/>
                </w:rPr>
                <w:t>Practice Level</w:t>
              </w:r>
              <w:r>
                <w:rPr>
                  <w:noProof/>
                  <w:webHidden/>
                </w:rPr>
                <w:tab/>
              </w:r>
              <w:r>
                <w:rPr>
                  <w:noProof/>
                  <w:webHidden/>
                </w:rPr>
                <w:fldChar w:fldCharType="begin"/>
              </w:r>
              <w:r>
                <w:rPr>
                  <w:noProof/>
                  <w:webHidden/>
                </w:rPr>
                <w:instrText xml:space="preserve"> PAGEREF _Toc520385407 \h </w:instrText>
              </w:r>
              <w:r>
                <w:rPr>
                  <w:noProof/>
                  <w:webHidden/>
                </w:rPr>
              </w:r>
              <w:r>
                <w:rPr>
                  <w:noProof/>
                  <w:webHidden/>
                </w:rPr>
                <w:fldChar w:fldCharType="separate"/>
              </w:r>
              <w:r>
                <w:rPr>
                  <w:noProof/>
                  <w:webHidden/>
                </w:rPr>
                <w:t>10</w:t>
              </w:r>
              <w:r>
                <w:rPr>
                  <w:noProof/>
                  <w:webHidden/>
                </w:rPr>
                <w:fldChar w:fldCharType="end"/>
              </w:r>
            </w:hyperlink>
          </w:p>
          <w:p w:rsidR="00F74DFB" w:rsidRDefault="00F74DFB">
            <w:pPr>
              <w:pStyle w:val="TOC1"/>
              <w:rPr>
                <w:rFonts w:asciiTheme="minorHAnsi" w:eastAsiaTheme="minorEastAsia" w:hAnsiTheme="minorHAnsi" w:cstheme="minorBidi"/>
                <w:noProof/>
                <w:sz w:val="22"/>
                <w:szCs w:val="22"/>
                <w:lang w:eastAsia="en-GB"/>
              </w:rPr>
            </w:pPr>
            <w:hyperlink w:anchor="_Toc520385408" w:history="1">
              <w:r w:rsidRPr="00D26368">
                <w:rPr>
                  <w:rStyle w:val="Hyperlink"/>
                  <w:noProof/>
                </w:rPr>
                <w:t>Common Queries</w:t>
              </w:r>
              <w:r>
                <w:rPr>
                  <w:noProof/>
                  <w:webHidden/>
                </w:rPr>
                <w:tab/>
              </w:r>
              <w:r>
                <w:rPr>
                  <w:noProof/>
                  <w:webHidden/>
                </w:rPr>
                <w:fldChar w:fldCharType="begin"/>
              </w:r>
              <w:r>
                <w:rPr>
                  <w:noProof/>
                  <w:webHidden/>
                </w:rPr>
                <w:instrText xml:space="preserve"> PAGEREF _Toc520385408 \h </w:instrText>
              </w:r>
              <w:r>
                <w:rPr>
                  <w:noProof/>
                  <w:webHidden/>
                </w:rPr>
              </w:r>
              <w:r>
                <w:rPr>
                  <w:noProof/>
                  <w:webHidden/>
                </w:rPr>
                <w:fldChar w:fldCharType="separate"/>
              </w:r>
              <w:r>
                <w:rPr>
                  <w:noProof/>
                  <w:webHidden/>
                </w:rPr>
                <w:t>12</w:t>
              </w:r>
              <w:r>
                <w:rPr>
                  <w:noProof/>
                  <w:webHidden/>
                </w:rPr>
                <w:fldChar w:fldCharType="end"/>
              </w:r>
            </w:hyperlink>
          </w:p>
          <w:p w:rsidR="00F74DFB" w:rsidRDefault="00F74DFB">
            <w:pPr>
              <w:pStyle w:val="TOC1"/>
              <w:rPr>
                <w:rFonts w:asciiTheme="minorHAnsi" w:eastAsiaTheme="minorEastAsia" w:hAnsiTheme="minorHAnsi" w:cstheme="minorBidi"/>
                <w:noProof/>
                <w:sz w:val="22"/>
                <w:szCs w:val="22"/>
                <w:lang w:eastAsia="en-GB"/>
              </w:rPr>
            </w:pPr>
            <w:hyperlink w:anchor="_Toc520385409" w:history="1">
              <w:r w:rsidRPr="00D26368">
                <w:rPr>
                  <w:rStyle w:val="Hyperlink"/>
                  <w:noProof/>
                </w:rPr>
                <w:t>Getting Help</w:t>
              </w:r>
              <w:r>
                <w:rPr>
                  <w:noProof/>
                  <w:webHidden/>
                </w:rPr>
                <w:tab/>
              </w:r>
              <w:r>
                <w:rPr>
                  <w:noProof/>
                  <w:webHidden/>
                </w:rPr>
                <w:fldChar w:fldCharType="begin"/>
              </w:r>
              <w:r>
                <w:rPr>
                  <w:noProof/>
                  <w:webHidden/>
                </w:rPr>
                <w:instrText xml:space="preserve"> PAGEREF _Toc520385409 \h </w:instrText>
              </w:r>
              <w:r>
                <w:rPr>
                  <w:noProof/>
                  <w:webHidden/>
                </w:rPr>
              </w:r>
              <w:r>
                <w:rPr>
                  <w:noProof/>
                  <w:webHidden/>
                </w:rPr>
                <w:fldChar w:fldCharType="separate"/>
              </w:r>
              <w:r>
                <w:rPr>
                  <w:noProof/>
                  <w:webHidden/>
                </w:rPr>
                <w:t>13</w:t>
              </w:r>
              <w:r>
                <w:rPr>
                  <w:noProof/>
                  <w:webHidden/>
                </w:rPr>
                <w:fldChar w:fldCharType="end"/>
              </w:r>
            </w:hyperlink>
          </w:p>
          <w:p w:rsidR="00182FE6" w:rsidRDefault="00682471" w:rsidP="00604173">
            <w:r>
              <w:fldChar w:fldCharType="end"/>
            </w:r>
          </w:p>
        </w:tc>
      </w:tr>
    </w:tbl>
    <w:p w:rsidR="00604173" w:rsidRDefault="00604173" w:rsidP="00604173">
      <w:pPr>
        <w:sectPr w:rsidR="00604173" w:rsidSect="00B863E3">
          <w:headerReference w:type="default" r:id="rId9"/>
          <w:footerReference w:type="default" r:id="rId10"/>
          <w:pgSz w:w="11906" w:h="16838"/>
          <w:pgMar w:top="1440" w:right="1440" w:bottom="1440" w:left="1440" w:header="708" w:footer="708" w:gutter="0"/>
          <w:cols w:space="708"/>
          <w:docGrid w:linePitch="360"/>
        </w:sectPr>
      </w:pPr>
      <w:bookmarkStart w:id="0" w:name="_GoBack"/>
      <w:bookmarkEnd w:id="0"/>
    </w:p>
    <w:p w:rsidR="001B6F3E" w:rsidRDefault="001B6F3E" w:rsidP="00A66FC5">
      <w:pPr>
        <w:pStyle w:val="Heading1"/>
      </w:pPr>
      <w:bookmarkStart w:id="1" w:name="_Toc520385397"/>
      <w:r>
        <w:lastRenderedPageBreak/>
        <w:t>Accessing the Systems Required</w:t>
      </w:r>
      <w:bookmarkEnd w:id="1"/>
    </w:p>
    <w:p w:rsidR="001B6F3E" w:rsidRDefault="001B6F3E" w:rsidP="001B6F3E">
      <w:pPr>
        <w:rPr>
          <w:bCs/>
        </w:rPr>
      </w:pPr>
      <w:r w:rsidRPr="001B6F3E">
        <w:rPr>
          <w:bCs/>
        </w:rPr>
        <w:t xml:space="preserve">To reconcile your invoice you will need access to the Itemised Prescribing Payment (IPP) Report and the Remuneration Report, both of which are located within ePACT2.  </w:t>
      </w:r>
    </w:p>
    <w:p w:rsidR="001B6F3E" w:rsidRPr="001B6F3E" w:rsidRDefault="001B6F3E">
      <w:r w:rsidRPr="001B6F3E">
        <w:t xml:space="preserve">Access to this system is via a registration process.  Details on how to register for access can be found at </w:t>
      </w:r>
      <w:hyperlink r:id="rId11" w:history="1">
        <w:r w:rsidRPr="001B6F3E">
          <w:rPr>
            <w:rStyle w:val="Hyperlink"/>
          </w:rPr>
          <w:t>https://www.nhsbsa.nhs.uk/epact2</w:t>
        </w:r>
      </w:hyperlink>
      <w:r w:rsidRPr="001B6F3E">
        <w:t xml:space="preserve"> </w:t>
      </w:r>
    </w:p>
    <w:p w:rsidR="001B6F3E" w:rsidRPr="001B6F3E" w:rsidRDefault="001B6F3E" w:rsidP="001B6F3E">
      <w:pPr>
        <w:rPr>
          <w:bCs/>
        </w:rPr>
      </w:pPr>
      <w:r w:rsidRPr="001B6F3E">
        <w:rPr>
          <w:bCs/>
        </w:rPr>
        <w:t xml:space="preserve">If you wish to see the individual drugs which have been prescribed this information can also be accessed via ePACT2.  </w:t>
      </w:r>
    </w:p>
    <w:p w:rsidR="001B6F3E" w:rsidRPr="001B6F3E" w:rsidRDefault="001B6F3E" w:rsidP="001B6F3E">
      <w:r w:rsidRPr="001B6F3E">
        <w:rPr>
          <w:bCs/>
        </w:rPr>
        <w:t xml:space="preserve">A standard report (Invoice Reconciliation Report) is available via ePACT2 which will provide a breakdown of the prescribing costs attributed to an organisation at unit/cost centre level.  A guide to accessing this report is available at </w:t>
      </w:r>
      <w:hyperlink r:id="rId12" w:history="1">
        <w:r w:rsidRPr="001B6F3E">
          <w:rPr>
            <w:rStyle w:val="Hyperlink"/>
            <w:bCs/>
          </w:rPr>
          <w:t>https://www.nhsbsa.nhs.uk/epact2/epact2-user-guides</w:t>
        </w:r>
      </w:hyperlink>
      <w:r w:rsidRPr="001B6F3E">
        <w:rPr>
          <w:bCs/>
        </w:rPr>
        <w:t xml:space="preserve"> </w:t>
      </w:r>
    </w:p>
    <w:p w:rsidR="003F1F0E" w:rsidRDefault="003F1F0E"/>
    <w:p w:rsidR="003F1F0E" w:rsidRDefault="003F1F0E" w:rsidP="003F1F0E">
      <w:pPr>
        <w:pStyle w:val="Heading1"/>
      </w:pPr>
      <w:bookmarkStart w:id="2" w:name="_Toc520385398"/>
      <w:r>
        <w:t>Invoice Received</w:t>
      </w:r>
      <w:bookmarkEnd w:id="2"/>
    </w:p>
    <w:p w:rsidR="00DF2C06" w:rsidRDefault="00DF2C06" w:rsidP="00DF2C06"/>
    <w:p w:rsidR="00DF2C06" w:rsidRDefault="00DF2C06" w:rsidP="00DF2C06">
      <w:pPr>
        <w:jc w:val="center"/>
      </w:pPr>
      <w:r>
        <w:rPr>
          <w:noProof/>
          <w:lang w:eastAsia="en-GB"/>
        </w:rPr>
        <w:drawing>
          <wp:inline distT="0" distB="0" distL="0" distR="0" wp14:anchorId="688B7CE1" wp14:editId="10355227">
            <wp:extent cx="5259629" cy="4291992"/>
            <wp:effectExtent l="19050" t="19050" r="17780" b="13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56321" cy="4289293"/>
                    </a:xfrm>
                    <a:prstGeom prst="rect">
                      <a:avLst/>
                    </a:prstGeom>
                    <a:ln>
                      <a:solidFill>
                        <a:schemeClr val="tx1"/>
                      </a:solidFill>
                    </a:ln>
                  </pic:spPr>
                </pic:pic>
              </a:graphicData>
            </a:graphic>
          </wp:inline>
        </w:drawing>
      </w:r>
    </w:p>
    <w:p w:rsidR="00F817E7" w:rsidRDefault="00D20D34" w:rsidP="00F817E7">
      <w:pPr>
        <w:ind w:left="720" w:hanging="720"/>
      </w:pPr>
      <w:r>
        <w:lastRenderedPageBreak/>
        <w:t>1</w:t>
      </w:r>
      <w:r w:rsidR="00F817E7">
        <w:t xml:space="preserve">. </w:t>
      </w:r>
      <w:r w:rsidR="00F817E7">
        <w:tab/>
      </w:r>
      <w:r w:rsidR="009C7A15">
        <w:t xml:space="preserve">These elements make up the ‘Actual Cost’ of prescribing and can be reconciled to the prescribing costs shown within the IPP report. </w:t>
      </w:r>
      <w:r w:rsidR="00F817E7">
        <w:t xml:space="preserve"> ePACT2 </w:t>
      </w:r>
      <w:r w:rsidR="009C7A15">
        <w:t>can be used to split the</w:t>
      </w:r>
      <w:r w:rsidR="00F817E7">
        <w:t xml:space="preserve"> </w:t>
      </w:r>
      <w:r w:rsidR="009C7A15">
        <w:t>‘Actual C</w:t>
      </w:r>
      <w:r w:rsidR="00F817E7">
        <w:t>ost</w:t>
      </w:r>
      <w:r w:rsidR="009C7A15">
        <w:t>’</w:t>
      </w:r>
      <w:r w:rsidR="00F817E7">
        <w:t xml:space="preserve"> to the individual cost centres/units under the organisation.</w:t>
      </w:r>
    </w:p>
    <w:p w:rsidR="00F817E7" w:rsidRDefault="009C7A15" w:rsidP="00F817E7">
      <w:pPr>
        <w:ind w:left="720" w:hanging="720"/>
      </w:pPr>
      <w:r>
        <w:t>2</w:t>
      </w:r>
      <w:r w:rsidR="00F817E7">
        <w:t>.</w:t>
      </w:r>
      <w:r w:rsidR="00F817E7">
        <w:tab/>
        <w:t>Shows the ‘Dispensing Fees - Previous Month’ and can be reconciled using the Remuneration Report.</w:t>
      </w:r>
    </w:p>
    <w:p w:rsidR="00214355" w:rsidRDefault="009C7A15" w:rsidP="00F817E7">
      <w:pPr>
        <w:ind w:left="720" w:hanging="720"/>
      </w:pPr>
      <w:r>
        <w:t>3</w:t>
      </w:r>
      <w:r w:rsidR="00F817E7">
        <w:t>.</w:t>
      </w:r>
      <w:r w:rsidR="00F817E7">
        <w:tab/>
        <w:t>Shows the ‘Charges - Previous Month’ and can be reconciled using the Remuneration Report.</w:t>
      </w:r>
    </w:p>
    <w:p w:rsidR="00214355" w:rsidRDefault="00214355" w:rsidP="003F1F0E">
      <w:pPr>
        <w:jc w:val="center"/>
      </w:pPr>
    </w:p>
    <w:p w:rsidR="00075BB9" w:rsidRDefault="00136650" w:rsidP="00A66FC5">
      <w:pPr>
        <w:pStyle w:val="Heading1"/>
      </w:pPr>
      <w:bookmarkStart w:id="3" w:name="_Toc520385399"/>
      <w:r>
        <w:t>Finding the IPP and Remuneration Reports</w:t>
      </w:r>
      <w:bookmarkEnd w:id="3"/>
    </w:p>
    <w:p w:rsidR="00136650" w:rsidRDefault="00136650" w:rsidP="007917C0"/>
    <w:p w:rsidR="00136650" w:rsidRDefault="00136650" w:rsidP="00136650">
      <w:r>
        <w:t>Log-in to ePACT2 using the user ID registered for the system and your password associated with the user ID.</w:t>
      </w:r>
    </w:p>
    <w:p w:rsidR="00136650" w:rsidRDefault="00136650" w:rsidP="00136650">
      <w:r>
        <w:t>Once you have signed in the system ‘Home’ page will be displayed.</w:t>
      </w:r>
    </w:p>
    <w:p w:rsidR="00136650" w:rsidRDefault="00136650" w:rsidP="00136650">
      <w:pPr>
        <w:rPr>
          <w:noProof/>
          <w:lang w:eastAsia="en-GB"/>
        </w:rPr>
      </w:pPr>
      <w:r>
        <w:t>The Financial Management Reports are located within the Dashboards area of ePACT2.  To access the Dashboard list:</w:t>
      </w:r>
      <w:r w:rsidRPr="00136650">
        <w:rPr>
          <w:noProof/>
          <w:lang w:eastAsia="en-GB"/>
        </w:rPr>
        <w:t xml:space="preserve"> </w:t>
      </w:r>
    </w:p>
    <w:p w:rsidR="00214355" w:rsidRDefault="00214355" w:rsidP="00136650">
      <w:pPr>
        <w:rPr>
          <w:noProof/>
          <w:lang w:eastAsia="en-GB"/>
        </w:rPr>
      </w:pPr>
    </w:p>
    <w:p w:rsidR="00136650" w:rsidRDefault="00136650" w:rsidP="00136650">
      <w:pPr>
        <w:ind w:left="714"/>
      </w:pPr>
      <w:r>
        <w:rPr>
          <w:noProof/>
          <w:lang w:eastAsia="en-GB"/>
        </w:rPr>
        <w:drawing>
          <wp:inline distT="0" distB="0" distL="0" distR="0" wp14:anchorId="76763ADF" wp14:editId="30BD8096">
            <wp:extent cx="4769900" cy="2508783"/>
            <wp:effectExtent l="19050" t="19050" r="1206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97680" cy="2523394"/>
                    </a:xfrm>
                    <a:prstGeom prst="rect">
                      <a:avLst/>
                    </a:prstGeom>
                    <a:ln>
                      <a:solidFill>
                        <a:schemeClr val="accent1"/>
                      </a:solidFill>
                    </a:ln>
                  </pic:spPr>
                </pic:pic>
              </a:graphicData>
            </a:graphic>
          </wp:inline>
        </w:drawing>
      </w:r>
    </w:p>
    <w:p w:rsidR="00136650" w:rsidRDefault="00136650" w:rsidP="00136650">
      <w:pPr>
        <w:pStyle w:val="ListParagraph"/>
      </w:pPr>
      <w:r>
        <w:t>From the</w:t>
      </w:r>
      <w:r w:rsidR="00412496">
        <w:t xml:space="preserve"> system ‘Home’ page select the Dashboards</w:t>
      </w:r>
      <w:r>
        <w:t xml:space="preserve"> icon.</w:t>
      </w:r>
    </w:p>
    <w:p w:rsidR="00136650" w:rsidRDefault="00136650" w:rsidP="00136650">
      <w:pPr>
        <w:pStyle w:val="ListParagraph"/>
      </w:pPr>
      <w:r>
        <w:t>Select the link for ‘Finance Management</w:t>
      </w:r>
      <w:r w:rsidR="007917C0">
        <w:t xml:space="preserve"> for Comm./Prov. Users</w:t>
      </w:r>
      <w:r w:rsidR="00412496">
        <w:t xml:space="preserve"> </w:t>
      </w:r>
      <w:r>
        <w:t>from the list available.</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7917C0" w:rsidRPr="000D36E8" w:rsidTr="000C3963">
        <w:trPr>
          <w:trHeight w:val="737"/>
        </w:trPr>
        <w:tc>
          <w:tcPr>
            <w:tcW w:w="813" w:type="dxa"/>
            <w:shd w:val="clear" w:color="auto" w:fill="F2F2F2"/>
            <w:tcMar>
              <w:top w:w="58" w:type="dxa"/>
              <w:left w:w="43" w:type="dxa"/>
              <w:bottom w:w="58" w:type="dxa"/>
              <w:right w:w="0" w:type="dxa"/>
            </w:tcMar>
            <w:vAlign w:val="center"/>
          </w:tcPr>
          <w:p w:rsidR="007917C0" w:rsidRPr="000D36E8" w:rsidRDefault="007917C0" w:rsidP="007917C0">
            <w:pPr>
              <w:spacing w:after="0" w:line="240" w:lineRule="auto"/>
              <w:rPr>
                <w:noProof/>
                <w:color w:val="333333"/>
                <w:sz w:val="22"/>
              </w:rPr>
            </w:pPr>
            <w:r>
              <w:rPr>
                <w:noProof/>
                <w:color w:val="333333"/>
                <w:sz w:val="22"/>
                <w:lang w:eastAsia="en-GB"/>
              </w:rPr>
              <w:lastRenderedPageBreak/>
              <w:drawing>
                <wp:inline distT="0" distB="0" distL="0" distR="0" wp14:anchorId="70FAD2D4" wp14:editId="61771523">
                  <wp:extent cx="429260" cy="429260"/>
                  <wp:effectExtent l="0" t="0" r="8890" b="8890"/>
                  <wp:docPr id="138"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7917C0" w:rsidRPr="000D36E8" w:rsidRDefault="007917C0" w:rsidP="007917C0">
            <w:pPr>
              <w:spacing w:after="0" w:line="240" w:lineRule="auto"/>
              <w:rPr>
                <w:color w:val="333333"/>
              </w:rPr>
            </w:pPr>
            <w:r>
              <w:rPr>
                <w:color w:val="333333"/>
              </w:rPr>
              <w:t xml:space="preserve">Area Team users the link will say </w:t>
            </w:r>
            <w:r>
              <w:t>‘Finance Management for Area Users’</w:t>
            </w:r>
          </w:p>
        </w:tc>
      </w:tr>
    </w:tbl>
    <w:p w:rsidR="007917C0" w:rsidRDefault="007917C0" w:rsidP="007917C0"/>
    <w:p w:rsidR="00136650" w:rsidRDefault="00136650" w:rsidP="00136650">
      <w:pPr>
        <w:pStyle w:val="ListParagraph"/>
      </w:pPr>
      <w:r>
        <w:t>It may be necessary to scroll through the list of dashboards available to view the link for ‘Finance Management’.</w:t>
      </w:r>
    </w:p>
    <w:p w:rsidR="00136650" w:rsidRDefault="00136650" w:rsidP="007917C0">
      <w:pPr>
        <w:ind w:left="714"/>
      </w:pPr>
      <w:r>
        <w:rPr>
          <w:noProof/>
          <w:lang w:eastAsia="en-GB"/>
        </w:rPr>
        <w:drawing>
          <wp:inline distT="0" distB="0" distL="0" distR="0" wp14:anchorId="3072BEF3" wp14:editId="3D1444F2">
            <wp:extent cx="5287164" cy="1360201"/>
            <wp:effectExtent l="19050" t="19050" r="2794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56306" cy="1403715"/>
                    </a:xfrm>
                    <a:prstGeom prst="rect">
                      <a:avLst/>
                    </a:prstGeom>
                    <a:ln>
                      <a:solidFill>
                        <a:schemeClr val="accent1"/>
                      </a:solidFill>
                    </a:ln>
                  </pic:spPr>
                </pic:pic>
              </a:graphicData>
            </a:graphic>
          </wp:inline>
        </w:drawing>
      </w:r>
    </w:p>
    <w:p w:rsidR="00136650" w:rsidRDefault="007917C0" w:rsidP="00F46131">
      <w:r w:rsidRPr="007917C0">
        <w:t xml:space="preserve">The ‘Finance </w:t>
      </w:r>
      <w:r>
        <w:t>Management’ dashboard will open:</w:t>
      </w:r>
    </w:p>
    <w:p w:rsidR="007917C0" w:rsidRDefault="00214355" w:rsidP="007917C0">
      <w:pPr>
        <w:ind w:left="714" w:hanging="714"/>
      </w:pPr>
      <w:r>
        <w:t>T</w:t>
      </w:r>
      <w:r w:rsidR="007917C0">
        <w:t>he report page will be displayed as:</w:t>
      </w:r>
    </w:p>
    <w:p w:rsidR="007917C0" w:rsidRDefault="00E67CC8" w:rsidP="007917C0">
      <w:pPr>
        <w:ind w:left="714" w:hanging="714"/>
      </w:pPr>
      <w:r>
        <w:rPr>
          <w:noProof/>
          <w:lang w:eastAsia="en-GB"/>
        </w:rPr>
        <w:drawing>
          <wp:inline distT="0" distB="0" distL="0" distR="0" wp14:anchorId="4DA5DB7E" wp14:editId="6EE259F8">
            <wp:extent cx="5731510" cy="2047668"/>
            <wp:effectExtent l="19050" t="19050" r="21590" b="101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047668"/>
                    </a:xfrm>
                    <a:prstGeom prst="rect">
                      <a:avLst/>
                    </a:prstGeom>
                    <a:ln>
                      <a:solidFill>
                        <a:schemeClr val="accent1"/>
                      </a:solidFill>
                    </a:ln>
                  </pic:spPr>
                </pic:pic>
              </a:graphicData>
            </a:graphic>
          </wp:inline>
        </w:drawing>
      </w:r>
    </w:p>
    <w:p w:rsidR="00214355" w:rsidRDefault="00214355" w:rsidP="007917C0">
      <w:pPr>
        <w:ind w:left="714" w:hanging="714"/>
      </w:pPr>
    </w:p>
    <w:p w:rsidR="00170755" w:rsidRDefault="00170755" w:rsidP="00170755">
      <w:pPr>
        <w:pStyle w:val="Heading1"/>
      </w:pPr>
      <w:bookmarkStart w:id="4" w:name="_Toc520365866"/>
      <w:bookmarkStart w:id="5" w:name="_Toc520385400"/>
      <w:r>
        <w:t>Using the Itemised Prescribing Report (IPP)</w:t>
      </w:r>
      <w:bookmarkEnd w:id="4"/>
      <w:bookmarkEnd w:id="5"/>
    </w:p>
    <w:p w:rsidR="00170755" w:rsidRDefault="00170755" w:rsidP="00170755">
      <w:pPr>
        <w:ind w:left="714" w:hanging="714"/>
      </w:pPr>
    </w:p>
    <w:p w:rsidR="00170755" w:rsidRDefault="00170755" w:rsidP="00170755">
      <w:pPr>
        <w:ind w:left="714" w:hanging="714"/>
      </w:pPr>
      <w:r>
        <w:t>The Itemised Prescribing Report tab will be opened by default.</w:t>
      </w:r>
    </w:p>
    <w:p w:rsidR="00170755" w:rsidRDefault="00170755" w:rsidP="00170755">
      <w:pPr>
        <w:ind w:left="1428" w:hanging="714"/>
      </w:pPr>
      <w:r>
        <w:rPr>
          <w:noProof/>
          <w:lang w:eastAsia="en-GB"/>
        </w:rPr>
        <w:lastRenderedPageBreak/>
        <w:drawing>
          <wp:inline distT="0" distB="0" distL="0" distR="0" wp14:anchorId="215AE590" wp14:editId="37257711">
            <wp:extent cx="4289426" cy="1492301"/>
            <wp:effectExtent l="19050" t="19050" r="1587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91324" cy="1492961"/>
                    </a:xfrm>
                    <a:prstGeom prst="rect">
                      <a:avLst/>
                    </a:prstGeom>
                    <a:ln>
                      <a:solidFill>
                        <a:schemeClr val="accent1"/>
                      </a:solidFill>
                    </a:ln>
                  </pic:spPr>
                </pic:pic>
              </a:graphicData>
            </a:graphic>
          </wp:inline>
        </w:drawing>
      </w:r>
    </w:p>
    <w:p w:rsidR="00170755" w:rsidRDefault="00170755" w:rsidP="00170755">
      <w:r>
        <w:t>The IPP reports are split into 2 sections:</w:t>
      </w:r>
    </w:p>
    <w:p w:rsidR="00170755" w:rsidRDefault="00170755" w:rsidP="00170755">
      <w:pPr>
        <w:pStyle w:val="ListParagraph"/>
        <w:numPr>
          <w:ilvl w:val="0"/>
          <w:numId w:val="10"/>
        </w:numPr>
      </w:pPr>
      <w:r>
        <w:t>Comm./Prov. Overview – which is an overview of all organisations that the user has access rights to view</w:t>
      </w:r>
    </w:p>
    <w:p w:rsidR="00170755" w:rsidRDefault="00170755" w:rsidP="00170755">
      <w:pPr>
        <w:pStyle w:val="ListParagraph"/>
        <w:numPr>
          <w:ilvl w:val="0"/>
          <w:numId w:val="10"/>
        </w:numPr>
      </w:pPr>
      <w:r>
        <w:t>Comm./Prov. Individual – shows individual reports for each organisation</w:t>
      </w:r>
    </w:p>
    <w:p w:rsidR="00170755" w:rsidRDefault="00170755" w:rsidP="00170755">
      <w:pPr>
        <w:ind w:left="714"/>
      </w:pPr>
      <w:r>
        <w:rPr>
          <w:noProof/>
          <w:lang w:eastAsia="en-GB"/>
        </w:rPr>
        <w:drawing>
          <wp:inline distT="0" distB="0" distL="0" distR="0" wp14:anchorId="530605E1" wp14:editId="291C70E4">
            <wp:extent cx="4235501" cy="1495316"/>
            <wp:effectExtent l="19050" t="19050" r="1270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33793" cy="1494713"/>
                    </a:xfrm>
                    <a:prstGeom prst="rect">
                      <a:avLst/>
                    </a:prstGeom>
                    <a:ln>
                      <a:solidFill>
                        <a:schemeClr val="accent1"/>
                      </a:solidFill>
                    </a:ln>
                  </pic:spPr>
                </pic:pic>
              </a:graphicData>
            </a:graphic>
          </wp:inline>
        </w:drawing>
      </w:r>
    </w:p>
    <w:p w:rsidR="00170755" w:rsidRDefault="00170755" w:rsidP="00170755"/>
    <w:p w:rsidR="00170755" w:rsidRDefault="00170755" w:rsidP="00170755"/>
    <w:p w:rsidR="00170755" w:rsidRDefault="00170755" w:rsidP="00170755"/>
    <w:p w:rsidR="00170755" w:rsidRDefault="00170755" w:rsidP="00170755"/>
    <w:p w:rsidR="00170755" w:rsidRDefault="00170755" w:rsidP="00170755"/>
    <w:p w:rsidR="00170755" w:rsidRDefault="00170755" w:rsidP="00170755"/>
    <w:p w:rsidR="00170755" w:rsidRDefault="00170755" w:rsidP="00170755"/>
    <w:p w:rsidR="00170755" w:rsidRDefault="00170755" w:rsidP="00170755"/>
    <w:p w:rsidR="00170755" w:rsidRDefault="00170755" w:rsidP="00170755">
      <w:pPr>
        <w:pStyle w:val="Heading2"/>
      </w:pPr>
    </w:p>
    <w:p w:rsidR="00170755" w:rsidRDefault="00170755" w:rsidP="00170755">
      <w:pPr>
        <w:pStyle w:val="Heading2"/>
      </w:pPr>
      <w:bookmarkStart w:id="6" w:name="_Toc520365867"/>
      <w:bookmarkStart w:id="7" w:name="_Toc520385401"/>
      <w:r>
        <w:t>Comm. /Prov. Overview</w:t>
      </w:r>
      <w:bookmarkEnd w:id="6"/>
      <w:bookmarkEnd w:id="7"/>
    </w:p>
    <w:p w:rsidR="00170755" w:rsidRDefault="00170755" w:rsidP="00170755">
      <w:r>
        <w:t>Within the Comm. /Prov. Overview report a selection of prompts will allow the user to change or limit the data displayed within the Overview.</w:t>
      </w:r>
    </w:p>
    <w:p w:rsidR="00170755" w:rsidRPr="00FF48B8" w:rsidRDefault="00170755" w:rsidP="00170755">
      <w:r>
        <w:rPr>
          <w:noProof/>
          <w:lang w:eastAsia="en-GB"/>
        </w:rPr>
        <w:lastRenderedPageBreak/>
        <w:drawing>
          <wp:inline distT="0" distB="0" distL="0" distR="0" wp14:anchorId="4323A0BD" wp14:editId="48DA3832">
            <wp:extent cx="5731510" cy="2296278"/>
            <wp:effectExtent l="19050" t="19050" r="21590" b="279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2296278"/>
                    </a:xfrm>
                    <a:prstGeom prst="rect">
                      <a:avLst/>
                    </a:prstGeom>
                    <a:ln>
                      <a:solidFill>
                        <a:schemeClr val="accent1"/>
                      </a:solidFill>
                    </a:ln>
                  </pic:spPr>
                </pic:pic>
              </a:graphicData>
            </a:graphic>
          </wp:inline>
        </w:drawing>
      </w:r>
    </w:p>
    <w:p w:rsidR="00170755" w:rsidRDefault="00170755" w:rsidP="00170755">
      <w:pPr>
        <w:pStyle w:val="ListParagraph"/>
        <w:numPr>
          <w:ilvl w:val="0"/>
          <w:numId w:val="10"/>
        </w:numPr>
      </w:pPr>
      <w:r>
        <w:t>Month – Allows the user to select the time period the wish to view data for.  Data will be available from April 2018 onwards, if a time period earlier than this is selected the report will return a message of ‘No Results’.</w:t>
      </w:r>
    </w:p>
    <w:p w:rsidR="00170755" w:rsidRDefault="00170755" w:rsidP="00170755">
      <w:pPr>
        <w:pStyle w:val="ListParagraph"/>
        <w:numPr>
          <w:ilvl w:val="0"/>
          <w:numId w:val="9"/>
        </w:numPr>
      </w:pPr>
      <w:r>
        <w:t>Country – Allows the user to limit information to a selected Country, data is only available for ‘England’.</w:t>
      </w:r>
    </w:p>
    <w:p w:rsidR="00170755" w:rsidRDefault="00170755" w:rsidP="00170755">
      <w:pPr>
        <w:pStyle w:val="ListParagraph"/>
        <w:numPr>
          <w:ilvl w:val="0"/>
          <w:numId w:val="9"/>
        </w:numPr>
      </w:pPr>
      <w:r>
        <w:t>Region – Allows the user to limit information to a selected Region.  If a Region is selected which the user does not have access rights to the system will return a message of ‘No Results’.</w:t>
      </w:r>
    </w:p>
    <w:p w:rsidR="00170755" w:rsidRDefault="00170755" w:rsidP="00170755">
      <w:pPr>
        <w:pStyle w:val="ListParagraph"/>
        <w:numPr>
          <w:ilvl w:val="0"/>
          <w:numId w:val="9"/>
        </w:numPr>
      </w:pPr>
      <w:r>
        <w:t>Local Office - Allows the user to limit information to a selected Local Office. If a Local Office is selected which the user does not have access rights to the system will return a message of ‘No Results’.</w:t>
      </w:r>
    </w:p>
    <w:p w:rsidR="00170755" w:rsidRDefault="00170755" w:rsidP="00170755">
      <w:pPr>
        <w:pStyle w:val="ListParagraph"/>
        <w:numPr>
          <w:ilvl w:val="0"/>
          <w:numId w:val="9"/>
        </w:numPr>
      </w:pPr>
      <w:r>
        <w:t>Area - Allows the user to limit information to a selected Area. If an Area is selected which the user does not have access rights to the system will return a message of ‘No Results’.</w:t>
      </w:r>
    </w:p>
    <w:p w:rsidR="00170755" w:rsidRDefault="00170755" w:rsidP="00170755">
      <w:pPr>
        <w:pStyle w:val="ListParagraph"/>
        <w:numPr>
          <w:ilvl w:val="0"/>
          <w:numId w:val="9"/>
        </w:numPr>
      </w:pPr>
      <w:r>
        <w:t>Apply – Confirms the selections made and regenerates the report to display the selected information.</w:t>
      </w:r>
    </w:p>
    <w:p w:rsidR="00170755" w:rsidRDefault="00170755" w:rsidP="00170755">
      <w:pPr>
        <w:pStyle w:val="ListParagraph"/>
        <w:numPr>
          <w:ilvl w:val="0"/>
          <w:numId w:val="9"/>
        </w:numPr>
      </w:pPr>
      <w:r>
        <w:t>Reset – Will reset any selections made to the default settings.</w:t>
      </w:r>
    </w:p>
    <w:p w:rsidR="00170755" w:rsidRDefault="00170755" w:rsidP="00170755">
      <w:pPr>
        <w:pStyle w:val="Heading2"/>
      </w:pPr>
      <w:bookmarkStart w:id="8" w:name="_Toc520365868"/>
      <w:bookmarkStart w:id="9" w:name="_Toc520385402"/>
      <w:r>
        <w:t>Comm. / Prov. Individual</w:t>
      </w:r>
      <w:bookmarkEnd w:id="8"/>
      <w:bookmarkEnd w:id="9"/>
    </w:p>
    <w:p w:rsidR="00170755" w:rsidRDefault="00170755" w:rsidP="00170755">
      <w:r w:rsidRPr="00D40F77">
        <w:t>A selection of prompts will be displayed within the report to allow the user to select the report required.</w:t>
      </w:r>
    </w:p>
    <w:p w:rsidR="00170755" w:rsidRDefault="00170755" w:rsidP="00170755">
      <w:r>
        <w:rPr>
          <w:noProof/>
          <w:lang w:eastAsia="en-GB"/>
        </w:rPr>
        <w:lastRenderedPageBreak/>
        <w:drawing>
          <wp:inline distT="0" distB="0" distL="0" distR="0" wp14:anchorId="66711135" wp14:editId="1AADFACB">
            <wp:extent cx="5731510" cy="3837540"/>
            <wp:effectExtent l="19050" t="19050" r="21590"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837540"/>
                    </a:xfrm>
                    <a:prstGeom prst="rect">
                      <a:avLst/>
                    </a:prstGeom>
                    <a:ln>
                      <a:solidFill>
                        <a:schemeClr val="accent1"/>
                      </a:solidFill>
                    </a:ln>
                  </pic:spPr>
                </pic:pic>
              </a:graphicData>
            </a:graphic>
          </wp:inline>
        </w:drawing>
      </w:r>
    </w:p>
    <w:p w:rsidR="00170755" w:rsidRPr="00D40F77" w:rsidRDefault="00170755" w:rsidP="00170755"/>
    <w:p w:rsidR="00170755" w:rsidRDefault="00170755" w:rsidP="00170755">
      <w:pPr>
        <w:pStyle w:val="ListParagraph"/>
        <w:numPr>
          <w:ilvl w:val="0"/>
          <w:numId w:val="10"/>
        </w:numPr>
      </w:pPr>
      <w:r w:rsidRPr="00D40F77">
        <w:t>Month - Allows the user to select the time per</w:t>
      </w:r>
      <w:r>
        <w:t>iod the wish to view data for.</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170755" w:rsidRPr="000D36E8" w:rsidTr="00170755">
        <w:trPr>
          <w:trHeight w:val="737"/>
        </w:trPr>
        <w:tc>
          <w:tcPr>
            <w:tcW w:w="81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rPr>
                <w:noProof/>
                <w:color w:val="333333"/>
                <w:sz w:val="22"/>
                <w:lang w:eastAsia="en-GB"/>
              </w:rPr>
              <w:drawing>
                <wp:inline distT="0" distB="0" distL="0" distR="0" wp14:anchorId="73C6C826" wp14:editId="2BF9409C">
                  <wp:extent cx="429260" cy="429260"/>
                  <wp:effectExtent l="0" t="0" r="8890" b="8890"/>
                  <wp:docPr id="19"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Data will be available from April 2018 onwards, if a time period earlier than this is selected the report will return a message of ‘No Results’.</w:t>
            </w:r>
          </w:p>
        </w:tc>
      </w:tr>
    </w:tbl>
    <w:p w:rsidR="00170755" w:rsidRPr="00D40F77" w:rsidRDefault="00170755" w:rsidP="00170755"/>
    <w:p w:rsidR="00170755" w:rsidRPr="00D40F77" w:rsidRDefault="00170755" w:rsidP="00170755">
      <w:pPr>
        <w:pStyle w:val="ListParagraph"/>
        <w:numPr>
          <w:ilvl w:val="0"/>
          <w:numId w:val="9"/>
        </w:numPr>
      </w:pPr>
      <w:r w:rsidRPr="00D40F77">
        <w:t>Commissioner/Provider – Allows the user to select the organisation they wish to view the report for.  Only those organisations the user has access rights to view data for will be displayed within the drop down list.</w:t>
      </w:r>
    </w:p>
    <w:p w:rsidR="00170755" w:rsidRPr="00D40F77" w:rsidRDefault="00170755" w:rsidP="00170755">
      <w:pPr>
        <w:pStyle w:val="ListParagraph"/>
        <w:numPr>
          <w:ilvl w:val="0"/>
          <w:numId w:val="9"/>
        </w:numPr>
      </w:pPr>
      <w:r w:rsidRPr="00D40F77">
        <w:t>Apply – Confirms the selections made and regenerates the report to display the selected information.</w:t>
      </w:r>
    </w:p>
    <w:p w:rsidR="00170755" w:rsidRPr="00D40F77" w:rsidRDefault="00170755" w:rsidP="00170755">
      <w:pPr>
        <w:pStyle w:val="ListParagraph"/>
        <w:numPr>
          <w:ilvl w:val="0"/>
          <w:numId w:val="9"/>
        </w:numPr>
      </w:pPr>
      <w:r w:rsidRPr="00D40F77">
        <w:t>Reset – Will reset any selections made to the default settings.</w:t>
      </w:r>
    </w:p>
    <w:p w:rsidR="00170755" w:rsidRPr="00D40F77" w:rsidRDefault="00170755" w:rsidP="00170755">
      <w:pPr>
        <w:pStyle w:val="ListParagraph"/>
        <w:numPr>
          <w:ilvl w:val="0"/>
          <w:numId w:val="9"/>
        </w:numPr>
      </w:pPr>
      <w:r w:rsidRPr="00D40F77">
        <w:t>Print – Will display the available formats the report can printed in.</w:t>
      </w:r>
    </w:p>
    <w:p w:rsidR="00170755" w:rsidRDefault="00170755" w:rsidP="00170755">
      <w:pPr>
        <w:pStyle w:val="ListParagraph"/>
        <w:numPr>
          <w:ilvl w:val="0"/>
          <w:numId w:val="9"/>
        </w:numPr>
      </w:pPr>
      <w:r w:rsidRPr="00D40F77">
        <w:t>Export – Will display the available formats the report can be exported in.</w:t>
      </w:r>
    </w:p>
    <w:p w:rsidR="00170755" w:rsidRDefault="00170755" w:rsidP="00170755">
      <w:pPr>
        <w:pStyle w:val="ListParagraph"/>
        <w:numPr>
          <w:ilvl w:val="0"/>
          <w:numId w:val="0"/>
        </w:numPr>
        <w:ind w:left="714"/>
      </w:pPr>
    </w:p>
    <w:p w:rsidR="00170755" w:rsidRDefault="00170755" w:rsidP="00170755">
      <w:pPr>
        <w:pStyle w:val="Heading1"/>
      </w:pPr>
      <w:bookmarkStart w:id="10" w:name="_Toc520365869"/>
      <w:bookmarkStart w:id="11" w:name="_Toc520385403"/>
      <w:r>
        <w:lastRenderedPageBreak/>
        <w:t>Using the Remuneration Reports</w:t>
      </w:r>
      <w:bookmarkEnd w:id="10"/>
      <w:bookmarkEnd w:id="11"/>
    </w:p>
    <w:p w:rsidR="00170755" w:rsidRDefault="00170755" w:rsidP="00170755"/>
    <w:p w:rsidR="00170755" w:rsidRDefault="00170755" w:rsidP="00170755">
      <w:r>
        <w:t>Commissioner / Providers Users will have access to Remuneration Values Reports which can be accessed by choosing the Remuneration Values tab within the Financial Management dashboard:</w:t>
      </w:r>
    </w:p>
    <w:p w:rsidR="00170755" w:rsidRDefault="00170755" w:rsidP="00170755">
      <w:pPr>
        <w:ind w:left="720"/>
      </w:pPr>
      <w:r>
        <w:rPr>
          <w:noProof/>
          <w:lang w:eastAsia="en-GB"/>
        </w:rPr>
        <w:drawing>
          <wp:inline distT="0" distB="0" distL="0" distR="0" wp14:anchorId="2450108B" wp14:editId="2E9766CF">
            <wp:extent cx="3430829" cy="1525624"/>
            <wp:effectExtent l="19050" t="19050" r="17780" b="177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37297" cy="1528500"/>
                    </a:xfrm>
                    <a:prstGeom prst="rect">
                      <a:avLst/>
                    </a:prstGeom>
                    <a:ln>
                      <a:solidFill>
                        <a:schemeClr val="accent1"/>
                      </a:solidFill>
                    </a:ln>
                  </pic:spPr>
                </pic:pic>
              </a:graphicData>
            </a:graphic>
          </wp:inline>
        </w:drawing>
      </w:r>
    </w:p>
    <w:p w:rsidR="00170755" w:rsidRDefault="00170755" w:rsidP="00170755">
      <w:pPr>
        <w:pStyle w:val="Heading2"/>
      </w:pPr>
    </w:p>
    <w:p w:rsidR="00170755" w:rsidRDefault="00170755" w:rsidP="00170755">
      <w:pPr>
        <w:pStyle w:val="Heading2"/>
      </w:pPr>
      <w:bookmarkStart w:id="12" w:name="_Toc520365870"/>
      <w:bookmarkStart w:id="13" w:name="_Toc520385404"/>
      <w:r>
        <w:t>Remuneration Values</w:t>
      </w:r>
      <w:bookmarkEnd w:id="12"/>
      <w:bookmarkEnd w:id="13"/>
    </w:p>
    <w:p w:rsidR="00170755" w:rsidRDefault="00170755" w:rsidP="00170755">
      <w:r>
        <w:t>Remuneration Recharges report will show:</w:t>
      </w:r>
    </w:p>
    <w:p w:rsidR="00170755" w:rsidRDefault="00170755" w:rsidP="00170755">
      <w:pPr>
        <w:pStyle w:val="BulletPoints"/>
      </w:pPr>
      <w:r>
        <w:t>A summary for a dispensing month</w:t>
      </w:r>
    </w:p>
    <w:p w:rsidR="00170755" w:rsidRDefault="00170755" w:rsidP="00170755">
      <w:pPr>
        <w:pStyle w:val="BulletPoints"/>
      </w:pPr>
      <w:r>
        <w:t>An itemised listing for a dispensing month</w:t>
      </w:r>
    </w:p>
    <w:p w:rsidR="00170755" w:rsidRDefault="00170755" w:rsidP="00170755">
      <w:pPr>
        <w:pStyle w:val="BulletPoints"/>
        <w:numPr>
          <w:ilvl w:val="0"/>
          <w:numId w:val="0"/>
        </w:numPr>
      </w:pPr>
    </w:p>
    <w:p w:rsidR="00170755" w:rsidRDefault="00170755" w:rsidP="00170755">
      <w:pPr>
        <w:pStyle w:val="BulletPoints"/>
        <w:numPr>
          <w:ilvl w:val="0"/>
          <w:numId w:val="0"/>
        </w:numPr>
      </w:pPr>
    </w:p>
    <w:p w:rsidR="00170755" w:rsidRDefault="00170755" w:rsidP="00170755">
      <w:pPr>
        <w:pStyle w:val="BulletPoints"/>
        <w:numPr>
          <w:ilvl w:val="0"/>
          <w:numId w:val="0"/>
        </w:numPr>
      </w:pPr>
    </w:p>
    <w:p w:rsidR="00170755" w:rsidRDefault="00170755" w:rsidP="00170755">
      <w:pPr>
        <w:pStyle w:val="Heading3"/>
      </w:pPr>
      <w:bookmarkStart w:id="14" w:name="_Toc520365871"/>
      <w:bookmarkStart w:id="15" w:name="_Toc520385405"/>
      <w:r>
        <w:t>Summary</w:t>
      </w:r>
      <w:bookmarkEnd w:id="14"/>
      <w:bookmarkEnd w:id="15"/>
    </w:p>
    <w:p w:rsidR="00170755" w:rsidRDefault="00170755" w:rsidP="00170755">
      <w:r w:rsidRPr="00A609BD">
        <w:t>A selection of prompts will be displayed within the report to allow the user to select the report required.</w:t>
      </w:r>
    </w:p>
    <w:p w:rsidR="00170755" w:rsidRDefault="00170755" w:rsidP="00170755">
      <w:r>
        <w:t xml:space="preserve">Total ‘Prescription Charge’ and ‘Remuneration’ figures will be displayed for each organisation.  The summary report showing all organisations under the selected organisation can be downloaded in a single file. </w:t>
      </w:r>
    </w:p>
    <w:p w:rsidR="00170755" w:rsidRDefault="00170755" w:rsidP="00170755">
      <w:r w:rsidRPr="00290DDE">
        <w:rPr>
          <w:noProof/>
          <w:lang w:eastAsia="en-GB"/>
        </w:rPr>
        <w:lastRenderedPageBreak/>
        <w:drawing>
          <wp:inline distT="0" distB="0" distL="0" distR="0" wp14:anchorId="014FE387" wp14:editId="70D85ABA">
            <wp:extent cx="5731510" cy="2343428"/>
            <wp:effectExtent l="19050" t="19050" r="21590"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2343428"/>
                    </a:xfrm>
                    <a:prstGeom prst="rect">
                      <a:avLst/>
                    </a:prstGeom>
                    <a:ln>
                      <a:solidFill>
                        <a:schemeClr val="tx1"/>
                      </a:solidFill>
                    </a:ln>
                  </pic:spPr>
                </pic:pic>
              </a:graphicData>
            </a:graphic>
          </wp:inline>
        </w:drawing>
      </w:r>
    </w:p>
    <w:p w:rsidR="00170755" w:rsidRPr="00A609BD" w:rsidRDefault="00170755" w:rsidP="00170755"/>
    <w:p w:rsidR="00170755" w:rsidRDefault="00170755" w:rsidP="00170755">
      <w:pPr>
        <w:pStyle w:val="ListParagraph"/>
        <w:numPr>
          <w:ilvl w:val="0"/>
          <w:numId w:val="10"/>
        </w:numPr>
      </w:pPr>
      <w:r w:rsidRPr="00D40F77">
        <w:t>Month - Allows the user to select the time per</w:t>
      </w:r>
      <w:r>
        <w:t>iod the wish to view data for.</w:t>
      </w:r>
    </w:p>
    <w:p w:rsidR="00170755" w:rsidRPr="00D40F77" w:rsidRDefault="00170755" w:rsidP="00170755">
      <w:pPr>
        <w:pStyle w:val="ListParagraph"/>
        <w:numPr>
          <w:ilvl w:val="0"/>
          <w:numId w:val="9"/>
        </w:numPr>
      </w:pPr>
      <w:r>
        <w:t>Area</w:t>
      </w:r>
      <w:r w:rsidRPr="00D40F77">
        <w:t xml:space="preserve"> – Allows the user to select the </w:t>
      </w:r>
      <w:r>
        <w:t>Area</w:t>
      </w:r>
      <w:r w:rsidRPr="00D40F77">
        <w:t xml:space="preserve"> they wish to view the report for.  Only those organisations the user has access rights to view data for will be displayed within the drop down list.</w:t>
      </w:r>
    </w:p>
    <w:p w:rsidR="00170755" w:rsidRPr="00D40F77" w:rsidRDefault="00170755" w:rsidP="00170755">
      <w:pPr>
        <w:pStyle w:val="ListParagraph"/>
        <w:numPr>
          <w:ilvl w:val="0"/>
          <w:numId w:val="9"/>
        </w:numPr>
      </w:pPr>
      <w:r w:rsidRPr="00D40F77">
        <w:t>Apply – Confirms the selections made and regenerates the report to display the selected information.</w:t>
      </w:r>
    </w:p>
    <w:p w:rsidR="00170755" w:rsidRDefault="00170755" w:rsidP="00170755">
      <w:pPr>
        <w:pStyle w:val="ListParagraph"/>
        <w:numPr>
          <w:ilvl w:val="0"/>
          <w:numId w:val="9"/>
        </w:numPr>
      </w:pPr>
      <w:r w:rsidRPr="00D40F77">
        <w:t>Reset – Will reset any selections made to the default settings.</w:t>
      </w:r>
    </w:p>
    <w:p w:rsidR="00170755" w:rsidRDefault="00170755" w:rsidP="00170755">
      <w:pPr>
        <w:pStyle w:val="ListParagraph"/>
        <w:numPr>
          <w:ilvl w:val="0"/>
          <w:numId w:val="9"/>
        </w:numPr>
      </w:pPr>
      <w:r>
        <w:t>The total ‘Prescription Charges’ attributed to the organisation for the time period selected will be displayed within the summary, this can be used to reconcile the invoice received.</w:t>
      </w:r>
    </w:p>
    <w:p w:rsidR="00170755" w:rsidRPr="00D40F77" w:rsidRDefault="00170755" w:rsidP="00170755">
      <w:pPr>
        <w:pStyle w:val="ListParagraph"/>
        <w:numPr>
          <w:ilvl w:val="0"/>
          <w:numId w:val="9"/>
        </w:numPr>
      </w:pPr>
      <w:r>
        <w:t>The total ‘Remuneration’ attributed to the organisation for the time period selected will be displayed within the summary; this can be used to reconcile the invoice received.</w:t>
      </w:r>
    </w:p>
    <w:p w:rsidR="00170755" w:rsidRPr="00D40F77" w:rsidRDefault="00170755" w:rsidP="00170755">
      <w:pPr>
        <w:pStyle w:val="ListParagraph"/>
        <w:numPr>
          <w:ilvl w:val="0"/>
          <w:numId w:val="9"/>
        </w:numPr>
      </w:pPr>
      <w:r w:rsidRPr="00D40F77">
        <w:t>Print – Will display the available formats the report can printed in.</w:t>
      </w:r>
    </w:p>
    <w:p w:rsidR="00170755" w:rsidRDefault="00170755" w:rsidP="00170755">
      <w:pPr>
        <w:pStyle w:val="ListParagraph"/>
        <w:numPr>
          <w:ilvl w:val="0"/>
          <w:numId w:val="9"/>
        </w:numPr>
      </w:pPr>
      <w:r w:rsidRPr="00D40F77">
        <w:t>Export – Will display the available formats the report can be exported in.</w:t>
      </w:r>
    </w:p>
    <w:p w:rsidR="00170755" w:rsidRDefault="00170755" w:rsidP="00170755">
      <w:pPr>
        <w:pStyle w:val="Heading3"/>
      </w:pPr>
    </w:p>
    <w:p w:rsidR="00170755" w:rsidRDefault="00170755" w:rsidP="00170755"/>
    <w:p w:rsidR="00170755" w:rsidRPr="009267E7" w:rsidRDefault="00170755" w:rsidP="00170755"/>
    <w:p w:rsidR="00170755" w:rsidRDefault="00170755" w:rsidP="00170755">
      <w:pPr>
        <w:pStyle w:val="Heading3"/>
      </w:pPr>
      <w:bookmarkStart w:id="16" w:name="_Toc520365872"/>
      <w:bookmarkStart w:id="17" w:name="_Toc520385406"/>
      <w:r>
        <w:lastRenderedPageBreak/>
        <w:t>Itemised Listing</w:t>
      </w:r>
      <w:bookmarkEnd w:id="16"/>
      <w:bookmarkEnd w:id="17"/>
    </w:p>
    <w:p w:rsidR="00170755" w:rsidRDefault="00170755" w:rsidP="00170755">
      <w:r>
        <w:t>The prompts for ‘MONTH’ and ‘Area’ from the Summary report apply changes to the itemised report also.</w:t>
      </w:r>
    </w:p>
    <w:p w:rsidR="00170755" w:rsidRDefault="00170755" w:rsidP="00170755">
      <w:r>
        <w:t>There are two additional prompts on the Itemised report to allow you to change the ‘Area’ and ‘Commissioner/Provider’</w:t>
      </w:r>
    </w:p>
    <w:p w:rsidR="00170755" w:rsidRDefault="00170755" w:rsidP="00170755">
      <w:r>
        <w:t>Month - Allows the user to select the time period the wish to view data for.</w:t>
      </w:r>
    </w:p>
    <w:p w:rsidR="00170755" w:rsidRDefault="00170755" w:rsidP="00170755">
      <w:r>
        <w:t>Apply – Confirms the selections made and regenerates the report to display the selected information.</w:t>
      </w:r>
    </w:p>
    <w:p w:rsidR="00170755" w:rsidRDefault="00170755" w:rsidP="00170755">
      <w:r>
        <w:t>Reset – Will reset any selections made to the default settings.</w:t>
      </w:r>
    </w:p>
    <w:p w:rsidR="00170755" w:rsidRDefault="00170755" w:rsidP="00170755">
      <w:r>
        <w:t>Print – Will display the available formats the report can printed in.</w:t>
      </w:r>
    </w:p>
    <w:p w:rsidR="00170755" w:rsidRDefault="00170755" w:rsidP="00170755">
      <w:r>
        <w:t>Export – Will display the available formats the report can be exported in.</w:t>
      </w:r>
    </w:p>
    <w:p w:rsidR="00170755" w:rsidRDefault="00170755" w:rsidP="00170755">
      <w:pPr>
        <w:ind w:left="714"/>
      </w:pPr>
      <w:r>
        <w:rPr>
          <w:noProof/>
          <w:lang w:eastAsia="en-GB"/>
        </w:rPr>
        <w:drawing>
          <wp:inline distT="0" distB="0" distL="0" distR="0" wp14:anchorId="4401781E" wp14:editId="0769FB4E">
            <wp:extent cx="4665925" cy="2970539"/>
            <wp:effectExtent l="19050" t="19050" r="20955" b="203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679232" cy="2979011"/>
                    </a:xfrm>
                    <a:prstGeom prst="rect">
                      <a:avLst/>
                    </a:prstGeom>
                    <a:ln>
                      <a:solidFill>
                        <a:schemeClr val="accent1"/>
                      </a:solidFill>
                    </a:ln>
                  </pic:spPr>
                </pic:pic>
              </a:graphicData>
            </a:graphic>
          </wp:inline>
        </w:drawing>
      </w:r>
    </w:p>
    <w:p w:rsidR="00170755" w:rsidRPr="00A609BD" w:rsidRDefault="00170755" w:rsidP="00170755">
      <w:pPr>
        <w:ind w:left="714"/>
      </w:pPr>
    </w:p>
    <w:p w:rsidR="00170755" w:rsidRDefault="00170755" w:rsidP="00170755">
      <w:pPr>
        <w:pStyle w:val="ListParagraph"/>
        <w:numPr>
          <w:ilvl w:val="0"/>
          <w:numId w:val="10"/>
        </w:numPr>
      </w:pPr>
      <w:r>
        <w:t>Area</w:t>
      </w:r>
      <w:r w:rsidRPr="00D40F77">
        <w:t xml:space="preserve"> – Allows the user to select </w:t>
      </w:r>
      <w:r>
        <w:t xml:space="preserve">to view/export the itemised report for all organisations or a single organisation.  </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170755" w:rsidRPr="000D36E8" w:rsidTr="00170755">
        <w:trPr>
          <w:trHeight w:val="737"/>
        </w:trPr>
        <w:tc>
          <w:tcPr>
            <w:tcW w:w="81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rPr>
                <w:noProof/>
                <w:color w:val="333333"/>
                <w:sz w:val="22"/>
                <w:lang w:eastAsia="en-GB"/>
              </w:rPr>
              <w:drawing>
                <wp:inline distT="0" distB="0" distL="0" distR="0" wp14:anchorId="7163F07A" wp14:editId="220D7E12">
                  <wp:extent cx="429260" cy="429260"/>
                  <wp:effectExtent l="0" t="0" r="8890" b="8890"/>
                  <wp:docPr id="28"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 xml:space="preserve">The prompt will default to ‘All’, to view the report for a single organisation the parent organisation name should be selected.  An additional prompt will then be displayed to allow the user to select the organisation required. </w:t>
            </w:r>
          </w:p>
        </w:tc>
      </w:tr>
    </w:tbl>
    <w:p w:rsidR="00170755" w:rsidRDefault="00170755" w:rsidP="00170755">
      <w:pPr>
        <w:pStyle w:val="ListParagraph"/>
        <w:numPr>
          <w:ilvl w:val="0"/>
          <w:numId w:val="0"/>
        </w:numPr>
        <w:ind w:left="714"/>
      </w:pPr>
    </w:p>
    <w:p w:rsidR="00170755" w:rsidRDefault="00170755" w:rsidP="00170755">
      <w:pPr>
        <w:pStyle w:val="ListParagraph"/>
        <w:numPr>
          <w:ilvl w:val="0"/>
          <w:numId w:val="10"/>
        </w:numPr>
      </w:pPr>
      <w:r w:rsidRPr="00D40F77">
        <w:lastRenderedPageBreak/>
        <w:t>Commissioner/Provider – Allows the user to select the organisation they wish to view the report for.  Only those organisations the user has access rights to view data for will be displayed within the drop down list.</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170755" w:rsidRPr="000D36E8" w:rsidTr="00170755">
        <w:trPr>
          <w:trHeight w:val="737"/>
        </w:trPr>
        <w:tc>
          <w:tcPr>
            <w:tcW w:w="81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rPr>
                <w:noProof/>
                <w:color w:val="333333"/>
                <w:sz w:val="22"/>
                <w:lang w:eastAsia="en-GB"/>
              </w:rPr>
              <w:drawing>
                <wp:inline distT="0" distB="0" distL="0" distR="0" wp14:anchorId="4ED93032" wp14:editId="7D1ACF58">
                  <wp:extent cx="429260" cy="429260"/>
                  <wp:effectExtent l="0" t="0" r="8890" b="8890"/>
                  <wp:docPr id="32"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 xml:space="preserve">The prompt will only be shown when a value other than ‘All’ is selected in the ‘Area’ prompt. </w:t>
            </w:r>
          </w:p>
        </w:tc>
      </w:tr>
    </w:tbl>
    <w:p w:rsidR="00170755" w:rsidRDefault="00170755" w:rsidP="00170755"/>
    <w:p w:rsidR="00170755" w:rsidRDefault="00170755" w:rsidP="00170755">
      <w:pPr>
        <w:pStyle w:val="Heading3"/>
      </w:pPr>
      <w:bookmarkStart w:id="18" w:name="_Toc520365873"/>
      <w:bookmarkStart w:id="19" w:name="_Toc520385407"/>
      <w:r>
        <w:t xml:space="preserve">Practice </w:t>
      </w:r>
      <w:r w:rsidRPr="00682471">
        <w:t>Level</w:t>
      </w:r>
      <w:bookmarkEnd w:id="18"/>
      <w:bookmarkEnd w:id="19"/>
    </w:p>
    <w:p w:rsidR="00170755" w:rsidRDefault="00170755" w:rsidP="00170755">
      <w:r w:rsidRPr="00C425A6">
        <w:t>To view the Remuneration Values summary and itemised report down to unit or cost centre level, select the blue hyperlink available in the Remuneration Values summary table</w:t>
      </w:r>
    </w:p>
    <w:p w:rsidR="00170755" w:rsidRDefault="00170755" w:rsidP="00170755">
      <w:r>
        <w:tab/>
      </w:r>
      <w:r w:rsidRPr="00290DDE">
        <w:rPr>
          <w:noProof/>
          <w:lang w:eastAsia="en-GB"/>
        </w:rPr>
        <w:drawing>
          <wp:inline distT="0" distB="0" distL="0" distR="0" wp14:anchorId="0891535D" wp14:editId="4A37DBF2">
            <wp:extent cx="4425696" cy="1368845"/>
            <wp:effectExtent l="19050" t="19050" r="13335" b="222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40147" cy="1373314"/>
                    </a:xfrm>
                    <a:prstGeom prst="rect">
                      <a:avLst/>
                    </a:prstGeom>
                    <a:ln>
                      <a:solidFill>
                        <a:schemeClr val="tx1"/>
                      </a:solidFill>
                    </a:ln>
                  </pic:spPr>
                </pic:pic>
              </a:graphicData>
            </a:graphic>
          </wp:inline>
        </w:drawing>
      </w:r>
    </w:p>
    <w:p w:rsidR="00170755" w:rsidRDefault="00170755" w:rsidP="00170755">
      <w:r>
        <w:tab/>
        <w:t>A Practice summary and Practice itemised listing will be displayed:</w:t>
      </w:r>
    </w:p>
    <w:p w:rsidR="00170755" w:rsidRDefault="00170755" w:rsidP="00170755"/>
    <w:p w:rsidR="00170755" w:rsidRPr="00C425A6" w:rsidRDefault="00170755" w:rsidP="00170755">
      <w:pPr>
        <w:rPr>
          <w:b/>
        </w:rPr>
      </w:pPr>
      <w:r w:rsidRPr="00C425A6">
        <w:rPr>
          <w:b/>
        </w:rPr>
        <w:t>Practice Summary:</w:t>
      </w:r>
    </w:p>
    <w:p w:rsidR="00170755" w:rsidRDefault="00170755" w:rsidP="00170755">
      <w:r>
        <w:tab/>
      </w:r>
      <w:r w:rsidRPr="00290DDE">
        <w:rPr>
          <w:noProof/>
          <w:lang w:eastAsia="en-GB"/>
        </w:rPr>
        <w:drawing>
          <wp:inline distT="0" distB="0" distL="0" distR="0" wp14:anchorId="5BFD9F7D" wp14:editId="2BDC70AD">
            <wp:extent cx="4491532" cy="2527926"/>
            <wp:effectExtent l="19050" t="19050" r="23495" b="254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06336" cy="2536258"/>
                    </a:xfrm>
                    <a:prstGeom prst="rect">
                      <a:avLst/>
                    </a:prstGeom>
                    <a:ln>
                      <a:solidFill>
                        <a:schemeClr val="tx1"/>
                      </a:solidFill>
                    </a:ln>
                  </pic:spPr>
                </pic:pic>
              </a:graphicData>
            </a:graphic>
          </wp:inline>
        </w:drawing>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3"/>
        <w:gridCol w:w="7660"/>
      </w:tblGrid>
      <w:tr w:rsidR="00170755" w:rsidRPr="000D36E8" w:rsidTr="00170755">
        <w:trPr>
          <w:trHeight w:val="737"/>
        </w:trPr>
        <w:tc>
          <w:tcPr>
            <w:tcW w:w="145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tab/>
            </w:r>
            <w:r>
              <w:rPr>
                <w:noProof/>
                <w:color w:val="333333"/>
                <w:sz w:val="22"/>
                <w:lang w:eastAsia="en-GB"/>
              </w:rPr>
              <w:drawing>
                <wp:inline distT="0" distB="0" distL="0" distR="0" wp14:anchorId="4F1A51F2" wp14:editId="3FC68BA7">
                  <wp:extent cx="429260" cy="429260"/>
                  <wp:effectExtent l="0" t="0" r="8890" b="8890"/>
                  <wp:docPr id="35"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766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 xml:space="preserve">The ‘Prescription Charges’ and ‘Remuneration’ totals for all practices will be displayed in the summary and can be exported in a single file. </w:t>
            </w:r>
          </w:p>
        </w:tc>
      </w:tr>
    </w:tbl>
    <w:p w:rsidR="00170755" w:rsidRDefault="00170755" w:rsidP="00170755">
      <w:pPr>
        <w:ind w:left="720"/>
      </w:pPr>
      <w:r>
        <w:lastRenderedPageBreak/>
        <w:t xml:space="preserve">The report lists the first ten practices/ cost centres within the organisation, to view all practices/ cost centres for the selected organisation click on the ‘display maximum rows’ icon </w:t>
      </w:r>
      <w:r>
        <w:rPr>
          <w:noProof/>
          <w:lang w:eastAsia="en-GB"/>
        </w:rPr>
        <w:drawing>
          <wp:inline distT="0" distB="0" distL="0" distR="0" wp14:anchorId="3EE85E3C" wp14:editId="7373F218">
            <wp:extent cx="343535" cy="321945"/>
            <wp:effectExtent l="0" t="0" r="0" b="1905"/>
            <wp:docPr id="36" name="Picture 36" descr="cid:image005.jpg@01D41E81.4742C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41E81.4742C6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43535" cy="321945"/>
                    </a:xfrm>
                    <a:prstGeom prst="rect">
                      <a:avLst/>
                    </a:prstGeom>
                    <a:noFill/>
                    <a:ln>
                      <a:noFill/>
                    </a:ln>
                  </pic:spPr>
                </pic:pic>
              </a:graphicData>
            </a:graphic>
          </wp:inline>
        </w:drawing>
      </w:r>
    </w:p>
    <w:p w:rsidR="00170755" w:rsidRDefault="00170755" w:rsidP="00170755"/>
    <w:p w:rsidR="00170755" w:rsidRPr="00C425A6" w:rsidRDefault="00170755" w:rsidP="00170755">
      <w:pPr>
        <w:rPr>
          <w:b/>
        </w:rPr>
      </w:pPr>
      <w:r w:rsidRPr="00C425A6">
        <w:rPr>
          <w:b/>
        </w:rPr>
        <w:t>Practice Itemised Listing:</w:t>
      </w:r>
    </w:p>
    <w:p w:rsidR="00170755" w:rsidRDefault="00170755" w:rsidP="00170755">
      <w:r>
        <w:t xml:space="preserve">Allows the user to view/export the Itemised Remuneration report for all practices or a selected practice registered under the organisation. </w:t>
      </w:r>
    </w:p>
    <w:p w:rsidR="00170755" w:rsidRDefault="00170755" w:rsidP="00170755">
      <w:pPr>
        <w:ind w:left="720"/>
      </w:pPr>
      <w:r>
        <w:rPr>
          <w:noProof/>
          <w:lang w:eastAsia="en-GB"/>
        </w:rPr>
        <w:drawing>
          <wp:inline distT="0" distB="0" distL="0" distR="0" wp14:anchorId="421B7BCE" wp14:editId="336955B1">
            <wp:extent cx="5107888" cy="3343047"/>
            <wp:effectExtent l="19050" t="19050" r="17145" b="1016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112060" cy="3345778"/>
                    </a:xfrm>
                    <a:prstGeom prst="rect">
                      <a:avLst/>
                    </a:prstGeom>
                    <a:ln>
                      <a:solidFill>
                        <a:schemeClr val="accent1"/>
                      </a:solidFill>
                    </a:ln>
                  </pic:spPr>
                </pic:pic>
              </a:graphicData>
            </a:graphic>
          </wp:inline>
        </w:drawing>
      </w:r>
    </w:p>
    <w:p w:rsidR="00170755" w:rsidRDefault="00170755" w:rsidP="00170755">
      <w:pPr>
        <w:ind w:left="720"/>
      </w:pPr>
    </w:p>
    <w:p w:rsidR="00170755" w:rsidRPr="00A609BD" w:rsidRDefault="00170755" w:rsidP="00170755">
      <w:r w:rsidRPr="00A609BD">
        <w:t>A selection of prompts will be displayed within the report to allow the user to select the report required.</w:t>
      </w:r>
    </w:p>
    <w:p w:rsidR="00170755" w:rsidRDefault="00170755" w:rsidP="00170755">
      <w:r>
        <w:t>Month - Allows the user to select the time period the wish to view data for.</w:t>
      </w:r>
    </w:p>
    <w:p w:rsidR="00170755" w:rsidRDefault="00170755" w:rsidP="00170755">
      <w:r>
        <w:t>Practice – Allows the user to select the practice they wish to view the report for.  Only those organisations the user has access rights to view data for will be displayed within the drop down list.</w:t>
      </w:r>
    </w:p>
    <w:tbl>
      <w:tblPr>
        <w:tblW w:w="9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3"/>
        <w:gridCol w:w="8300"/>
      </w:tblGrid>
      <w:tr w:rsidR="00170755" w:rsidRPr="000D36E8" w:rsidTr="00170755">
        <w:trPr>
          <w:trHeight w:val="737"/>
        </w:trPr>
        <w:tc>
          <w:tcPr>
            <w:tcW w:w="813" w:type="dxa"/>
            <w:shd w:val="clear" w:color="auto" w:fill="F2F2F2"/>
            <w:tcMar>
              <w:top w:w="58" w:type="dxa"/>
              <w:left w:w="43" w:type="dxa"/>
              <w:bottom w:w="58" w:type="dxa"/>
              <w:right w:w="0" w:type="dxa"/>
            </w:tcMar>
            <w:vAlign w:val="center"/>
          </w:tcPr>
          <w:p w:rsidR="00170755" w:rsidRPr="000D36E8" w:rsidRDefault="00170755" w:rsidP="00170755">
            <w:pPr>
              <w:spacing w:after="0" w:line="240" w:lineRule="auto"/>
              <w:rPr>
                <w:noProof/>
                <w:color w:val="333333"/>
                <w:sz w:val="22"/>
              </w:rPr>
            </w:pPr>
            <w:r>
              <w:rPr>
                <w:noProof/>
                <w:color w:val="333333"/>
                <w:sz w:val="22"/>
                <w:lang w:eastAsia="en-GB"/>
              </w:rPr>
              <w:drawing>
                <wp:inline distT="0" distB="0" distL="0" distR="0" wp14:anchorId="7658BA34" wp14:editId="44EC433E">
                  <wp:extent cx="429260" cy="429260"/>
                  <wp:effectExtent l="0" t="0" r="8890" b="8890"/>
                  <wp:docPr id="38" name="Picture 61" descr="Description: Z:\Images\Bev\info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Z:\Images\Bev\info_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8300" w:type="dxa"/>
            <w:shd w:val="clear" w:color="auto" w:fill="F2F2F2"/>
            <w:tcMar>
              <w:top w:w="58" w:type="dxa"/>
              <w:left w:w="0" w:type="dxa"/>
              <w:bottom w:w="58" w:type="dxa"/>
              <w:right w:w="29" w:type="dxa"/>
            </w:tcMar>
            <w:vAlign w:val="center"/>
          </w:tcPr>
          <w:p w:rsidR="00170755" w:rsidRPr="000D36E8" w:rsidRDefault="00170755" w:rsidP="00170755">
            <w:pPr>
              <w:spacing w:after="0" w:line="240" w:lineRule="auto"/>
              <w:rPr>
                <w:color w:val="333333"/>
              </w:rPr>
            </w:pPr>
            <w:r>
              <w:t xml:space="preserve">The prompt will default to ‘All’, to view/export the report for a single practice the practice should be selected from the drop down list. </w:t>
            </w:r>
          </w:p>
        </w:tc>
      </w:tr>
    </w:tbl>
    <w:p w:rsidR="00170755" w:rsidRDefault="00170755" w:rsidP="00170755"/>
    <w:p w:rsidR="00170755" w:rsidRDefault="00170755" w:rsidP="00170755">
      <w:r>
        <w:t>Apply – Confirms the selections made and regenerates the report to display the selected information.</w:t>
      </w:r>
    </w:p>
    <w:p w:rsidR="00170755" w:rsidRDefault="00170755" w:rsidP="00170755">
      <w:r>
        <w:lastRenderedPageBreak/>
        <w:t>Reset – Will reset any selections made to the default settings.</w:t>
      </w:r>
    </w:p>
    <w:p w:rsidR="00170755" w:rsidRDefault="00170755" w:rsidP="00170755">
      <w:r>
        <w:t>Print – Will display the available formats the report can printed in.</w:t>
      </w:r>
    </w:p>
    <w:p w:rsidR="00170755" w:rsidRDefault="00170755" w:rsidP="00170755">
      <w:r>
        <w:t>Export – Will display the available formats the report can be exported in.</w:t>
      </w:r>
    </w:p>
    <w:p w:rsidR="00F46131" w:rsidRDefault="00F46131" w:rsidP="003E4A0A"/>
    <w:p w:rsidR="003F1F0E" w:rsidRDefault="003F1F0E" w:rsidP="003F1F0E">
      <w:pPr>
        <w:pStyle w:val="Heading1"/>
      </w:pPr>
      <w:bookmarkStart w:id="20" w:name="_Toc520385408"/>
      <w:r>
        <w:t>Common Queries</w:t>
      </w:r>
      <w:bookmarkEnd w:id="20"/>
    </w:p>
    <w:p w:rsidR="006E3E2B" w:rsidRPr="006E3E2B" w:rsidRDefault="006E3E2B" w:rsidP="006E3E2B"/>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6E0D93" w:rsidRPr="000D36E8" w:rsidTr="006B7BC3">
        <w:trPr>
          <w:trHeight w:val="737"/>
        </w:trPr>
        <w:tc>
          <w:tcPr>
            <w:tcW w:w="811" w:type="dxa"/>
            <w:shd w:val="clear" w:color="auto" w:fill="F2F2F2"/>
            <w:tcMar>
              <w:top w:w="58" w:type="dxa"/>
              <w:left w:w="43" w:type="dxa"/>
              <w:bottom w:w="58" w:type="dxa"/>
              <w:right w:w="0" w:type="dxa"/>
            </w:tcMar>
            <w:vAlign w:val="center"/>
          </w:tcPr>
          <w:p w:rsidR="006E0D93" w:rsidRPr="006E0D93" w:rsidRDefault="00EB1F71" w:rsidP="006E3E2B">
            <w:pPr>
              <w:keepNext/>
              <w:spacing w:after="0" w:line="240" w:lineRule="auto"/>
            </w:pPr>
            <w:r>
              <w:rPr>
                <w:noProof/>
                <w:lang w:eastAsia="en-GB"/>
              </w:rPr>
              <w:drawing>
                <wp:inline distT="0" distB="0" distL="0" distR="0" wp14:anchorId="2CF72A45" wp14:editId="211D7707">
                  <wp:extent cx="519379" cy="5193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6E0D93" w:rsidRPr="006E0D93" w:rsidRDefault="006E0D93" w:rsidP="006B7BC3">
            <w:pPr>
              <w:rPr>
                <w:b/>
                <w:bCs/>
              </w:rPr>
            </w:pPr>
            <w:r w:rsidRPr="003F1F0E">
              <w:rPr>
                <w:b/>
                <w:bCs/>
              </w:rPr>
              <w:t>The dispensing fees and patient charges shown on the invoice do not reconcile with the Remuneration Report.</w:t>
            </w:r>
          </w:p>
        </w:tc>
      </w:tr>
    </w:tbl>
    <w:p w:rsidR="003F1F0E" w:rsidRDefault="003F1F0E" w:rsidP="00682471"/>
    <w:p w:rsidR="00D22CF7" w:rsidRDefault="003F1F0E" w:rsidP="006E0D93">
      <w:r w:rsidRPr="003F1F0E">
        <w:t>Check that you are using the Remuneration Report for the correct month. Dispensing fees and patient charges shown on the invoice relate to</w:t>
      </w:r>
      <w:r w:rsidR="0082304B">
        <w:t xml:space="preserve"> </w:t>
      </w:r>
      <w:r w:rsidRPr="003F1F0E">
        <w:t>the previous months Remuneration Report. Therefore the invoice for July’s prescriptions will reconcile w</w:t>
      </w:r>
      <w:r w:rsidR="006E0D93">
        <w:t>ith June’s Remuneration Report.</w:t>
      </w:r>
    </w:p>
    <w:p w:rsidR="00214355" w:rsidRDefault="00214355" w:rsidP="006E0D93"/>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7FF87BBD" wp14:editId="7AB00C46">
                  <wp:extent cx="519379"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3F1F0E">
              <w:rPr>
                <w:b/>
                <w:bCs/>
              </w:rPr>
              <w:t>Charges are shown on the Itemised Remuneration Report for Appliance Infrastructure Payments but the provider has not prescribed</w:t>
            </w:r>
            <w:r>
              <w:t xml:space="preserve"> </w:t>
            </w:r>
            <w:r w:rsidRPr="003F1F0E">
              <w:rPr>
                <w:b/>
                <w:bCs/>
              </w:rPr>
              <w:t>any appliances on an FP10 Prescription.</w:t>
            </w:r>
          </w:p>
        </w:tc>
      </w:tr>
    </w:tbl>
    <w:p w:rsidR="00214355" w:rsidRDefault="00214355" w:rsidP="003F1F0E">
      <w:pPr>
        <w:rPr>
          <w:b/>
          <w:bCs/>
        </w:rPr>
      </w:pPr>
    </w:p>
    <w:p w:rsidR="003F1F0E" w:rsidRDefault="003F1F0E" w:rsidP="003F1F0E">
      <w:r w:rsidRPr="003F1F0E">
        <w:t>Appliance Infrastructure payments are made to appliance contractors in the</w:t>
      </w:r>
      <w:r>
        <w:t xml:space="preserve"> </w:t>
      </w:r>
      <w:r w:rsidRPr="003F1F0E">
        <w:t>same way Establishment payments are paid to pharmacy contractors. The cost of these payments are apportioned across all Primary Care Organisations (PCOs) and Trusts.</w:t>
      </w:r>
      <w:r>
        <w:t xml:space="preserve"> </w:t>
      </w:r>
      <w:r w:rsidRPr="003F1F0E">
        <w:t>The calculation used to apportion the cost is shown in the glossary at</w:t>
      </w:r>
      <w:r>
        <w:t xml:space="preserve"> </w:t>
      </w:r>
      <w:hyperlink r:id="rId31" w:history="1">
        <w:r w:rsidRPr="003F1F0E">
          <w:rPr>
            <w:rStyle w:val="Hyperlink"/>
          </w:rPr>
          <w:t>http://www.nhsbsa.nhs.uk/PrescriptionServices/3234.aspx</w:t>
        </w:r>
      </w:hyperlink>
      <w:r w:rsidRPr="003F1F0E">
        <w:t xml:space="preserve"> </w:t>
      </w:r>
    </w:p>
    <w:p w:rsidR="00214355" w:rsidRDefault="00214355" w:rsidP="003F1F0E"/>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49172B98" wp14:editId="18F0363F">
                  <wp:extent cx="519379" cy="5193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3F1F0E">
              <w:rPr>
                <w:b/>
                <w:bCs/>
              </w:rPr>
              <w:t>I cannot access ePACT</w:t>
            </w:r>
            <w:r>
              <w:rPr>
                <w:b/>
                <w:bCs/>
              </w:rPr>
              <w:t>2</w:t>
            </w:r>
            <w:r w:rsidRPr="003F1F0E">
              <w:rPr>
                <w:b/>
                <w:bCs/>
              </w:rPr>
              <w:t>.</w:t>
            </w:r>
          </w:p>
        </w:tc>
      </w:tr>
    </w:tbl>
    <w:p w:rsidR="00214355" w:rsidRDefault="00214355" w:rsidP="003F1F0E"/>
    <w:p w:rsidR="00D22CF7" w:rsidRDefault="003F1F0E" w:rsidP="0002291E">
      <w:r w:rsidRPr="003F1F0E">
        <w:t>If you do not have an ePACT username or password,</w:t>
      </w:r>
      <w:r>
        <w:t xml:space="preserve"> please complete the </w:t>
      </w:r>
      <w:r w:rsidRPr="003F1F0E">
        <w:t>registration</w:t>
      </w:r>
      <w:r>
        <w:t xml:space="preserve"> process, registration guidance is available at </w:t>
      </w:r>
      <w:r w:rsidRPr="003F1F0E">
        <w:t xml:space="preserve">instructions at </w:t>
      </w:r>
      <w:hyperlink r:id="rId32" w:history="1">
        <w:r w:rsidR="0002291E" w:rsidRPr="001344EC">
          <w:rPr>
            <w:rStyle w:val="Hyperlink"/>
          </w:rPr>
          <w:t>https://www.nhsbsa.nhs.uk/epact2</w:t>
        </w:r>
      </w:hyperlink>
      <w:r w:rsidR="0002291E">
        <w:t>.  If you have any further queries regarding the system p</w:t>
      </w:r>
      <w:r w:rsidRPr="003F1F0E">
        <w:t>lease contact Informati</w:t>
      </w:r>
      <w:r w:rsidR="0002291E">
        <w:t xml:space="preserve">on Services at </w:t>
      </w:r>
      <w:hyperlink r:id="rId33" w:history="1">
        <w:r w:rsidR="0002291E" w:rsidRPr="001344EC">
          <w:rPr>
            <w:rStyle w:val="Hyperlink"/>
          </w:rPr>
          <w:t>nhsbsa.help@nhs.net</w:t>
        </w:r>
      </w:hyperlink>
      <w:r w:rsidR="0002291E">
        <w:t xml:space="preserve"> or</w:t>
      </w:r>
      <w:r w:rsidRPr="003F1F0E">
        <w:t xml:space="preserve"> 0191 2035050.</w:t>
      </w:r>
    </w:p>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lastRenderedPageBreak/>
              <w:drawing>
                <wp:inline distT="0" distB="0" distL="0" distR="0" wp14:anchorId="49172B98" wp14:editId="18F0363F">
                  <wp:extent cx="519379" cy="5193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D22CF7">
              <w:rPr>
                <w:b/>
                <w:bCs/>
              </w:rPr>
              <w:t>I cannot get the dispensing fees on the Remuneration Report to match the figure on the invoice using the guidance provided. The figure is out by a small</w:t>
            </w:r>
            <w:r>
              <w:t xml:space="preserve"> </w:t>
            </w:r>
            <w:r w:rsidRPr="00D22CF7">
              <w:rPr>
                <w:b/>
                <w:bCs/>
              </w:rPr>
              <w:t>amount (i.e. pence).</w:t>
            </w:r>
          </w:p>
        </w:tc>
      </w:tr>
    </w:tbl>
    <w:p w:rsidR="00214355" w:rsidRDefault="00214355" w:rsidP="0002291E"/>
    <w:p w:rsidR="003F1F0E" w:rsidRDefault="00D22CF7" w:rsidP="00D22CF7">
      <w:r w:rsidRPr="00D22CF7">
        <w:t>This is due to slight differences in the way figures are rounded in the Remuneration Report totals</w:t>
      </w:r>
    </w:p>
    <w:p w:rsidR="00214355" w:rsidRDefault="00214355" w:rsidP="00D22CF7"/>
    <w:tbl>
      <w:tblPr>
        <w:tblW w:w="9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0"/>
        <w:gridCol w:w="8252"/>
      </w:tblGrid>
      <w:tr w:rsidR="00214355" w:rsidRPr="000D36E8" w:rsidTr="00214355">
        <w:trPr>
          <w:trHeight w:val="737"/>
        </w:trPr>
        <w:tc>
          <w:tcPr>
            <w:tcW w:w="811" w:type="dxa"/>
            <w:shd w:val="clear" w:color="auto" w:fill="F2F2F2"/>
            <w:tcMar>
              <w:top w:w="58" w:type="dxa"/>
              <w:left w:w="43" w:type="dxa"/>
              <w:bottom w:w="58" w:type="dxa"/>
              <w:right w:w="0" w:type="dxa"/>
            </w:tcMar>
            <w:vAlign w:val="center"/>
          </w:tcPr>
          <w:p w:rsidR="00214355" w:rsidRPr="006E0D93" w:rsidRDefault="00214355" w:rsidP="00214355">
            <w:pPr>
              <w:keepNext/>
              <w:spacing w:after="0" w:line="240" w:lineRule="auto"/>
            </w:pPr>
            <w:r>
              <w:rPr>
                <w:noProof/>
                <w:lang w:eastAsia="en-GB"/>
              </w:rPr>
              <w:drawing>
                <wp:inline distT="0" distB="0" distL="0" distR="0" wp14:anchorId="49172B98" wp14:editId="18F0363F">
                  <wp:extent cx="519379" cy="5193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icon-4704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9900" cy="519900"/>
                          </a:xfrm>
                          <a:prstGeom prst="rect">
                            <a:avLst/>
                          </a:prstGeom>
                        </pic:spPr>
                      </pic:pic>
                    </a:graphicData>
                  </a:graphic>
                </wp:inline>
              </w:drawing>
            </w:r>
          </w:p>
        </w:tc>
        <w:tc>
          <w:tcPr>
            <w:tcW w:w="8301" w:type="dxa"/>
            <w:shd w:val="clear" w:color="auto" w:fill="F2F2F2"/>
            <w:tcMar>
              <w:top w:w="58" w:type="dxa"/>
              <w:left w:w="0" w:type="dxa"/>
              <w:bottom w:w="58" w:type="dxa"/>
              <w:right w:w="29" w:type="dxa"/>
            </w:tcMar>
            <w:vAlign w:val="center"/>
          </w:tcPr>
          <w:p w:rsidR="00214355" w:rsidRPr="00214355" w:rsidRDefault="00214355" w:rsidP="00214355">
            <w:r w:rsidRPr="00D22CF7">
              <w:rPr>
                <w:b/>
                <w:bCs/>
              </w:rPr>
              <w:t>When using ePACT</w:t>
            </w:r>
            <w:r w:rsidR="00206839">
              <w:rPr>
                <w:b/>
                <w:bCs/>
              </w:rPr>
              <w:t>2</w:t>
            </w:r>
            <w:r w:rsidRPr="00D22CF7">
              <w:rPr>
                <w:b/>
                <w:bCs/>
              </w:rPr>
              <w:t xml:space="preserve"> to split costs between each hospital unit, the total prescribing figure does not add up to the amount invoiced. </w:t>
            </w:r>
          </w:p>
        </w:tc>
      </w:tr>
    </w:tbl>
    <w:p w:rsidR="00214355" w:rsidRDefault="00214355" w:rsidP="00D22CF7"/>
    <w:p w:rsidR="00D22CF7" w:rsidRDefault="00D22CF7" w:rsidP="00D22CF7">
      <w:r w:rsidRPr="00D22CF7">
        <w:t>The hospital invoice is now based on Actual Cost.  When using ePACT to split costs between hospital units the actual cost field should be used.  Additionally, prescriptions that have been dispensed by a GP practice should be excluded from the data as these will have been charged to the CCG of the GP practice.  To establish where a prescription has been dispensed the dispenser code field should be included in the report.</w:t>
      </w:r>
    </w:p>
    <w:p w:rsidR="00206839" w:rsidRDefault="00206839" w:rsidP="00D22CF7">
      <w:r>
        <w:t>A standard report template is available within ePACT2 providing prescribing cost split by hospital unit/cost centre.  A guid</w:t>
      </w:r>
      <w:r w:rsidR="00723842">
        <w:t>e to accessing the template</w:t>
      </w:r>
      <w:r>
        <w:t xml:space="preserve">, ‘Accessing the Invoice </w:t>
      </w:r>
      <w:r w:rsidR="00723842">
        <w:t>Reconciliation Report’,</w:t>
      </w:r>
      <w:r>
        <w:t xml:space="preserve"> is available </w:t>
      </w:r>
      <w:r w:rsidR="00723842">
        <w:t xml:space="preserve">via the ePACT2 User Guide webpage at </w:t>
      </w:r>
      <w:hyperlink r:id="rId34" w:history="1">
        <w:r w:rsidR="00723842" w:rsidRPr="002B3F00">
          <w:rPr>
            <w:rStyle w:val="Hyperlink"/>
          </w:rPr>
          <w:t>https://www.nhsbsa.nhs.uk/epact2/epact2-user-guides</w:t>
        </w:r>
      </w:hyperlink>
      <w:r w:rsidR="00723842">
        <w:t xml:space="preserve">. </w:t>
      </w:r>
    </w:p>
    <w:p w:rsidR="00723842" w:rsidRPr="00D22CF7" w:rsidRDefault="00723842" w:rsidP="00D22CF7"/>
    <w:p w:rsidR="004A00B8" w:rsidRDefault="00604173" w:rsidP="00A66FC5">
      <w:pPr>
        <w:pStyle w:val="Heading1"/>
      </w:pPr>
      <w:bookmarkStart w:id="21" w:name="_Toc517072397"/>
      <w:bookmarkStart w:id="22" w:name="_Toc520385409"/>
      <w:r>
        <w:t>Getting Help</w:t>
      </w:r>
      <w:bookmarkEnd w:id="21"/>
      <w:bookmarkEnd w:id="22"/>
    </w:p>
    <w:p w:rsidR="00B83E67" w:rsidRDefault="00B83E67" w:rsidP="00B83E67">
      <w:pPr>
        <w:jc w:val="center"/>
        <w:rPr>
          <w:b/>
        </w:rPr>
      </w:pPr>
      <w:r>
        <w:rPr>
          <w:noProof/>
          <w:lang w:eastAsia="en-GB"/>
        </w:rPr>
        <w:drawing>
          <wp:inline distT="0" distB="0" distL="0" distR="0" wp14:anchorId="02E43747" wp14:editId="08295A97">
            <wp:extent cx="2441863" cy="1135250"/>
            <wp:effectExtent l="0" t="0" r="0" b="8255"/>
            <wp:docPr id="30" name="Picture 30" descr="Z:\Images\Bev\HeadersFooterImages\supportIT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mages\Bev\HeadersFooterImages\supportITT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03255" cy="1163792"/>
                    </a:xfrm>
                    <a:prstGeom prst="rect">
                      <a:avLst/>
                    </a:prstGeom>
                    <a:noFill/>
                    <a:ln>
                      <a:noFill/>
                    </a:ln>
                  </pic:spPr>
                </pic:pic>
              </a:graphicData>
            </a:graphic>
          </wp:inline>
        </w:drawing>
      </w:r>
    </w:p>
    <w:p w:rsidR="00B83E67" w:rsidRDefault="00B83E67" w:rsidP="00140A8C">
      <w:pPr>
        <w:rPr>
          <w:b/>
        </w:rPr>
      </w:pPr>
    </w:p>
    <w:p w:rsidR="00140A8C" w:rsidRDefault="00140A8C" w:rsidP="00140A8C">
      <w:pPr>
        <w:rPr>
          <w:b/>
        </w:rPr>
      </w:pPr>
      <w:r w:rsidRPr="00F15458">
        <w:rPr>
          <w:b/>
        </w:rPr>
        <w:t>Additional training material and user guides</w:t>
      </w:r>
    </w:p>
    <w:p w:rsidR="00140A8C" w:rsidRPr="00C12595" w:rsidRDefault="00140A8C" w:rsidP="00140A8C">
      <w:r w:rsidRPr="00C12595">
        <w:t>The NHSBSA has developed a number of how to guides to help you get the best out of ePACT2.  These can be found at</w:t>
      </w:r>
      <w:r w:rsidR="00490522">
        <w:t>:</w:t>
      </w:r>
      <w:r w:rsidRPr="00C12595">
        <w:t xml:space="preserve"> </w:t>
      </w:r>
      <w:hyperlink r:id="rId36" w:history="1">
        <w:r w:rsidR="00157929">
          <w:rPr>
            <w:rStyle w:val="Hyperlink"/>
          </w:rPr>
          <w:t>Additional User Guides</w:t>
        </w:r>
      </w:hyperlink>
    </w:p>
    <w:p w:rsidR="00140A8C" w:rsidRPr="00C12595" w:rsidRDefault="00140A8C" w:rsidP="00140A8C">
      <w:pPr>
        <w:rPr>
          <w:b/>
        </w:rPr>
      </w:pPr>
      <w:r w:rsidRPr="00C12595">
        <w:rPr>
          <w:b/>
        </w:rPr>
        <w:t>WebEx sessions</w:t>
      </w:r>
    </w:p>
    <w:p w:rsidR="00140A8C" w:rsidRDefault="00140A8C" w:rsidP="00140A8C">
      <w:r w:rsidRPr="00C12595">
        <w:lastRenderedPageBreak/>
        <w:t>WebEx will be provided on a number of different topics and features.  More information about these can be found here</w:t>
      </w:r>
      <w:r w:rsidR="00490522">
        <w:t xml:space="preserve">: </w:t>
      </w:r>
      <w:hyperlink r:id="rId37" w:history="1">
        <w:r w:rsidR="00157929">
          <w:rPr>
            <w:rStyle w:val="Hyperlink"/>
          </w:rPr>
          <w:t>WebEx Training</w:t>
        </w:r>
      </w:hyperlink>
    </w:p>
    <w:sectPr w:rsidR="00140A8C" w:rsidSect="00604173">
      <w:headerReference w:type="default" r:id="rId38"/>
      <w:footerReference w:type="default" r:id="rId3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755" w:rsidRDefault="00170755" w:rsidP="00AD1427">
      <w:pPr>
        <w:spacing w:after="0" w:line="240" w:lineRule="auto"/>
      </w:pPr>
      <w:r>
        <w:separator/>
      </w:r>
    </w:p>
  </w:endnote>
  <w:endnote w:type="continuationSeparator" w:id="0">
    <w:p w:rsidR="00170755" w:rsidRDefault="00170755" w:rsidP="00AD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55" w:rsidRPr="00CE1DBD" w:rsidRDefault="00170755" w:rsidP="00CE1DBD">
    <w:pPr>
      <w:pStyle w:val="Footer"/>
    </w:pPr>
    <w:fldSimple w:instr=" FILENAME   \* MERGEFORMAT ">
      <w:r>
        <w:rPr>
          <w:noProof/>
        </w:rPr>
        <w:t>Reconciling Your Invoice Guide v1</w:t>
      </w:r>
    </w:fldSimple>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55" w:rsidRPr="00CE1DBD" w:rsidRDefault="00170755" w:rsidP="00CE1DBD">
    <w:pPr>
      <w:pStyle w:val="Footer"/>
    </w:pPr>
    <w:fldSimple w:instr=" FILENAME   \* MERGEFORMAT ">
      <w:r>
        <w:rPr>
          <w:noProof/>
        </w:rPr>
        <w:t>Reconciling Your Invoice Guide v1</w:t>
      </w:r>
    </w:fldSimple>
    <w:r>
      <w:tab/>
      <w:t xml:space="preserve">Page | </w:t>
    </w:r>
    <w:r>
      <w:fldChar w:fldCharType="begin"/>
    </w:r>
    <w:r>
      <w:instrText xml:space="preserve"> PAGE   \* MERGEFORMAT </w:instrText>
    </w:r>
    <w:r>
      <w:fldChar w:fldCharType="separate"/>
    </w:r>
    <w:r w:rsidR="00F74DFB">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755" w:rsidRDefault="00170755" w:rsidP="00AD1427">
      <w:pPr>
        <w:spacing w:after="0" w:line="240" w:lineRule="auto"/>
      </w:pPr>
      <w:r>
        <w:separator/>
      </w:r>
    </w:p>
  </w:footnote>
  <w:footnote w:type="continuationSeparator" w:id="0">
    <w:p w:rsidR="00170755" w:rsidRDefault="00170755" w:rsidP="00AD1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55" w:rsidRDefault="00170755" w:rsidP="00D95C16">
    <w:pPr>
      <w:pStyle w:val="Header"/>
    </w:pPr>
    <w:r>
      <w:rPr>
        <w:noProof/>
        <w:lang w:eastAsia="en-GB"/>
      </w:rPr>
      <w:drawing>
        <wp:anchor distT="0" distB="0" distL="114300" distR="114300" simplePos="0" relativeHeight="251659264" behindDoc="1" locked="0" layoutInCell="1" allowOverlap="1" wp14:anchorId="65F6647B" wp14:editId="3879A657">
          <wp:simplePos x="0" y="0"/>
          <wp:positionH relativeFrom="column">
            <wp:posOffset>-914400</wp:posOffset>
          </wp:positionH>
          <wp:positionV relativeFrom="paragraph">
            <wp:posOffset>-456565</wp:posOffset>
          </wp:positionV>
          <wp:extent cx="7560310" cy="1738630"/>
          <wp:effectExtent l="0" t="0" r="2540" b="0"/>
          <wp:wrapTight wrapText="bothSides">
            <wp:wrapPolygon edited="0">
              <wp:start x="0" y="0"/>
              <wp:lineTo x="0" y="21300"/>
              <wp:lineTo x="21553" y="21300"/>
              <wp:lineTo x="21553" y="0"/>
              <wp:lineTo x="0" y="0"/>
            </wp:wrapPolygon>
          </wp:wrapTight>
          <wp:docPr id="7" name="Picture 7"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755" w:rsidRDefault="00170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55" w:rsidRPr="001B6F3E" w:rsidRDefault="00170755" w:rsidP="001B6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31C"/>
    <w:multiLevelType w:val="multilevel"/>
    <w:tmpl w:val="CFF6A51E"/>
    <w:lvl w:ilvl="0">
      <w:start w:val="1"/>
      <w:numFmt w:val="bullet"/>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132FFC"/>
    <w:multiLevelType w:val="multilevel"/>
    <w:tmpl w:val="F38263B6"/>
    <w:lvl w:ilvl="0">
      <w:start w:val="1"/>
      <w:numFmt w:val="bullet"/>
      <w:pStyle w:val="BulletPoints"/>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241825"/>
    <w:multiLevelType w:val="multilevel"/>
    <w:tmpl w:val="A966205A"/>
    <w:styleLink w:val="Numbers"/>
    <w:lvl w:ilvl="0">
      <w:start w:val="1"/>
      <w:numFmt w:val="decimal"/>
      <w:pStyle w:val="ListParagraph"/>
      <w:lvlText w:val="%1."/>
      <w:lvlJc w:val="left"/>
      <w:pPr>
        <w:ind w:left="714" w:hanging="714"/>
      </w:pPr>
      <w:rPr>
        <w:rFonts w:ascii="Arial" w:hAnsi="Arial" w:hint="default"/>
        <w:sz w:val="24"/>
      </w:rPr>
    </w:lvl>
    <w:lvl w:ilvl="1">
      <w:start w:val="1"/>
      <w:numFmt w:val="lowerLetter"/>
      <w:lvlText w:val="%2)"/>
      <w:lvlJc w:val="left"/>
      <w:pPr>
        <w:ind w:left="1071" w:hanging="714"/>
      </w:pPr>
      <w:rPr>
        <w:rFonts w:hint="default"/>
      </w:rPr>
    </w:lvl>
    <w:lvl w:ilvl="2">
      <w:start w:val="1"/>
      <w:numFmt w:val="lowerRoman"/>
      <w:lvlText w:val="%3)"/>
      <w:lvlJc w:val="left"/>
      <w:pPr>
        <w:ind w:left="1428" w:hanging="714"/>
      </w:pPr>
      <w:rPr>
        <w:rFonts w:hint="default"/>
      </w:rPr>
    </w:lvl>
    <w:lvl w:ilvl="3">
      <w:start w:val="1"/>
      <w:numFmt w:val="decimal"/>
      <w:lvlText w:val="(%4)"/>
      <w:lvlJc w:val="left"/>
      <w:pPr>
        <w:ind w:left="1785" w:hanging="714"/>
      </w:pPr>
      <w:rPr>
        <w:rFonts w:hint="default"/>
      </w:rPr>
    </w:lvl>
    <w:lvl w:ilvl="4">
      <w:start w:val="1"/>
      <w:numFmt w:val="lowerLetter"/>
      <w:lvlText w:val="(%5)"/>
      <w:lvlJc w:val="left"/>
      <w:pPr>
        <w:ind w:left="2142" w:hanging="714"/>
      </w:pPr>
      <w:rPr>
        <w:rFonts w:hint="default"/>
      </w:rPr>
    </w:lvl>
    <w:lvl w:ilvl="5">
      <w:start w:val="1"/>
      <w:numFmt w:val="lowerRoman"/>
      <w:lvlText w:val="(%6)"/>
      <w:lvlJc w:val="left"/>
      <w:pPr>
        <w:ind w:left="2499" w:hanging="714"/>
      </w:pPr>
      <w:rPr>
        <w:rFonts w:hint="default"/>
      </w:rPr>
    </w:lvl>
    <w:lvl w:ilvl="6">
      <w:start w:val="1"/>
      <w:numFmt w:val="decimal"/>
      <w:lvlText w:val="%7."/>
      <w:lvlJc w:val="left"/>
      <w:pPr>
        <w:ind w:left="2856" w:hanging="714"/>
      </w:pPr>
      <w:rPr>
        <w:rFonts w:hint="default"/>
      </w:rPr>
    </w:lvl>
    <w:lvl w:ilvl="7">
      <w:start w:val="1"/>
      <w:numFmt w:val="lowerLetter"/>
      <w:lvlText w:val="%8."/>
      <w:lvlJc w:val="left"/>
      <w:pPr>
        <w:ind w:left="3213" w:hanging="714"/>
      </w:pPr>
      <w:rPr>
        <w:rFonts w:hint="default"/>
      </w:rPr>
    </w:lvl>
    <w:lvl w:ilvl="8">
      <w:start w:val="1"/>
      <w:numFmt w:val="lowerRoman"/>
      <w:lvlText w:val="%9."/>
      <w:lvlJc w:val="left"/>
      <w:pPr>
        <w:ind w:left="3570" w:hanging="714"/>
      </w:pPr>
      <w:rPr>
        <w:rFonts w:hint="default"/>
      </w:rPr>
    </w:lvl>
  </w:abstractNum>
  <w:abstractNum w:abstractNumId="3">
    <w:nsid w:val="11CB5158"/>
    <w:multiLevelType w:val="multilevel"/>
    <w:tmpl w:val="A7E0B016"/>
    <w:lvl w:ilvl="0">
      <w:start w:val="1"/>
      <w:numFmt w:val="bullet"/>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A2224C0"/>
    <w:multiLevelType w:val="multilevel"/>
    <w:tmpl w:val="C832BBC2"/>
    <w:lvl w:ilvl="0">
      <w:start w:val="1"/>
      <w:numFmt w:val="decimal"/>
      <w:lvlText w:val="%1."/>
      <w:lvlJc w:val="left"/>
      <w:pPr>
        <w:ind w:left="360" w:hanging="360"/>
      </w:pPr>
      <w:rPr>
        <w:rFonts w:hint="default"/>
        <w:sz w:val="24"/>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ADE33ED"/>
    <w:multiLevelType w:val="hybridMultilevel"/>
    <w:tmpl w:val="B6A45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502370"/>
    <w:multiLevelType w:val="hybridMultilevel"/>
    <w:tmpl w:val="535E99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61217D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94F75"/>
    <w:multiLevelType w:val="multilevel"/>
    <w:tmpl w:val="C832BBC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FCB216F"/>
    <w:multiLevelType w:val="multilevel"/>
    <w:tmpl w:val="A966205A"/>
    <w:numStyleLink w:val="Numbers"/>
  </w:abstractNum>
  <w:abstractNum w:abstractNumId="10">
    <w:nsid w:val="7046042C"/>
    <w:multiLevelType w:val="multilevel"/>
    <w:tmpl w:val="A966205A"/>
    <w:numStyleLink w:val="Numbers"/>
  </w:abstractNum>
  <w:num w:numId="1">
    <w:abstractNumId w:val="8"/>
  </w:num>
  <w:num w:numId="2">
    <w:abstractNumId w:val="0"/>
  </w:num>
  <w:num w:numId="3">
    <w:abstractNumId w:val="3"/>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4"/>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B9"/>
    <w:rsid w:val="0002291E"/>
    <w:rsid w:val="00041C28"/>
    <w:rsid w:val="0004435D"/>
    <w:rsid w:val="0007409D"/>
    <w:rsid w:val="00075BB9"/>
    <w:rsid w:val="00076A18"/>
    <w:rsid w:val="00096780"/>
    <w:rsid w:val="000C3963"/>
    <w:rsid w:val="000F0C89"/>
    <w:rsid w:val="000F0E75"/>
    <w:rsid w:val="001020E1"/>
    <w:rsid w:val="00136650"/>
    <w:rsid w:val="00140A8C"/>
    <w:rsid w:val="00157929"/>
    <w:rsid w:val="00170755"/>
    <w:rsid w:val="00182FE6"/>
    <w:rsid w:val="001A0BD2"/>
    <w:rsid w:val="001B0D01"/>
    <w:rsid w:val="001B6F3E"/>
    <w:rsid w:val="001E6395"/>
    <w:rsid w:val="00206839"/>
    <w:rsid w:val="00214355"/>
    <w:rsid w:val="00236E80"/>
    <w:rsid w:val="00340198"/>
    <w:rsid w:val="003E4A0A"/>
    <w:rsid w:val="003F022E"/>
    <w:rsid w:val="003F1F0E"/>
    <w:rsid w:val="0040419D"/>
    <w:rsid w:val="00412496"/>
    <w:rsid w:val="00425DCE"/>
    <w:rsid w:val="0046418D"/>
    <w:rsid w:val="00481C95"/>
    <w:rsid w:val="00490522"/>
    <w:rsid w:val="004A00B8"/>
    <w:rsid w:val="004E079F"/>
    <w:rsid w:val="0050125B"/>
    <w:rsid w:val="005848D3"/>
    <w:rsid w:val="005A3E07"/>
    <w:rsid w:val="005A4F58"/>
    <w:rsid w:val="005D30B1"/>
    <w:rsid w:val="005E008D"/>
    <w:rsid w:val="00604173"/>
    <w:rsid w:val="006349A9"/>
    <w:rsid w:val="00650D8C"/>
    <w:rsid w:val="0068124E"/>
    <w:rsid w:val="00682471"/>
    <w:rsid w:val="00685105"/>
    <w:rsid w:val="006B7BC3"/>
    <w:rsid w:val="006E0D93"/>
    <w:rsid w:val="006E3E2B"/>
    <w:rsid w:val="00714B0A"/>
    <w:rsid w:val="00723842"/>
    <w:rsid w:val="007439B5"/>
    <w:rsid w:val="00746CC8"/>
    <w:rsid w:val="00784A5E"/>
    <w:rsid w:val="007917C0"/>
    <w:rsid w:val="0079307A"/>
    <w:rsid w:val="007E3B44"/>
    <w:rsid w:val="007E4591"/>
    <w:rsid w:val="0082304B"/>
    <w:rsid w:val="00836C6B"/>
    <w:rsid w:val="00854822"/>
    <w:rsid w:val="008752DE"/>
    <w:rsid w:val="0089341E"/>
    <w:rsid w:val="00903C03"/>
    <w:rsid w:val="00906B65"/>
    <w:rsid w:val="00985020"/>
    <w:rsid w:val="009C7A15"/>
    <w:rsid w:val="009E1C7F"/>
    <w:rsid w:val="009F76B5"/>
    <w:rsid w:val="00A01526"/>
    <w:rsid w:val="00A309AF"/>
    <w:rsid w:val="00A317F6"/>
    <w:rsid w:val="00A6064A"/>
    <w:rsid w:val="00A609BD"/>
    <w:rsid w:val="00A65462"/>
    <w:rsid w:val="00A66FC5"/>
    <w:rsid w:val="00AA1ECC"/>
    <w:rsid w:val="00AB4FA5"/>
    <w:rsid w:val="00AD1427"/>
    <w:rsid w:val="00AD5B69"/>
    <w:rsid w:val="00B57B97"/>
    <w:rsid w:val="00B83E67"/>
    <w:rsid w:val="00B863E3"/>
    <w:rsid w:val="00BD4880"/>
    <w:rsid w:val="00BF5464"/>
    <w:rsid w:val="00C07969"/>
    <w:rsid w:val="00C22A56"/>
    <w:rsid w:val="00C74CED"/>
    <w:rsid w:val="00C95D26"/>
    <w:rsid w:val="00CE1DBD"/>
    <w:rsid w:val="00D02E95"/>
    <w:rsid w:val="00D20D34"/>
    <w:rsid w:val="00D22CF7"/>
    <w:rsid w:val="00D4049C"/>
    <w:rsid w:val="00D40F77"/>
    <w:rsid w:val="00D95C16"/>
    <w:rsid w:val="00DB3E31"/>
    <w:rsid w:val="00DF0012"/>
    <w:rsid w:val="00DF2C06"/>
    <w:rsid w:val="00E302E6"/>
    <w:rsid w:val="00E535DE"/>
    <w:rsid w:val="00E67CC8"/>
    <w:rsid w:val="00E85388"/>
    <w:rsid w:val="00EB1F71"/>
    <w:rsid w:val="00F42FAE"/>
    <w:rsid w:val="00F46131"/>
    <w:rsid w:val="00F4628F"/>
    <w:rsid w:val="00F74DFB"/>
    <w:rsid w:val="00F817E7"/>
    <w:rsid w:val="00F91F7E"/>
    <w:rsid w:val="00FE525C"/>
    <w:rsid w:val="00FF48B8"/>
    <w:rsid w:val="00FF7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3"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1C95"/>
    <w:rPr>
      <w:rFonts w:ascii="Arial" w:hAnsi="Arial" w:cs="Arial"/>
      <w:sz w:val="24"/>
      <w:szCs w:val="24"/>
    </w:rPr>
  </w:style>
  <w:style w:type="paragraph" w:styleId="Heading1">
    <w:name w:val="heading 1"/>
    <w:basedOn w:val="Normal"/>
    <w:next w:val="Normal"/>
    <w:link w:val="Heading1Char"/>
    <w:uiPriority w:val="2"/>
    <w:qFormat/>
    <w:rsid w:val="00A66FC5"/>
    <w:pPr>
      <w:pBdr>
        <w:top w:val="single" w:sz="12" w:space="1" w:color="auto"/>
        <w:bottom w:val="single" w:sz="12" w:space="1" w:color="auto"/>
      </w:pBdr>
      <w:outlineLvl w:val="0"/>
    </w:pPr>
    <w:rPr>
      <w:b/>
      <w:color w:val="0072CE"/>
      <w:sz w:val="32"/>
    </w:rPr>
  </w:style>
  <w:style w:type="paragraph" w:styleId="Heading2">
    <w:name w:val="heading 2"/>
    <w:basedOn w:val="Heading1"/>
    <w:next w:val="Normal"/>
    <w:link w:val="Heading2Char"/>
    <w:uiPriority w:val="3"/>
    <w:qFormat/>
    <w:rsid w:val="00B863E3"/>
    <w:pPr>
      <w:pBdr>
        <w:top w:val="none" w:sz="0" w:space="0" w:color="auto"/>
        <w:bottom w:val="none" w:sz="0" w:space="0" w:color="auto"/>
      </w:pBdr>
      <w:spacing w:before="240" w:after="240"/>
      <w:outlineLvl w:val="1"/>
    </w:pPr>
  </w:style>
  <w:style w:type="paragraph" w:styleId="Heading3">
    <w:name w:val="heading 3"/>
    <w:basedOn w:val="Heading2"/>
    <w:next w:val="Normal"/>
    <w:link w:val="Heading3Char"/>
    <w:uiPriority w:val="3"/>
    <w:qFormat/>
    <w:rsid w:val="00AD1427"/>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4"/>
    <w:qFormat/>
    <w:rsid w:val="00340198"/>
    <w:pPr>
      <w:numPr>
        <w:numId w:val="17"/>
      </w:numPr>
      <w:spacing w:line="360" w:lineRule="auto"/>
    </w:pPr>
    <w:rPr>
      <w:lang w:eastAsia="en-GB"/>
    </w:rPr>
  </w:style>
  <w:style w:type="paragraph" w:styleId="NoSpacing">
    <w:name w:val="No Spacing"/>
    <w:uiPriority w:val="1"/>
    <w:qFormat/>
    <w:rsid w:val="00AD1427"/>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2"/>
    <w:rsid w:val="00A66FC5"/>
    <w:rPr>
      <w:rFonts w:ascii="Arial" w:hAnsi="Arial" w:cs="Arial"/>
      <w:b/>
      <w:color w:val="0072CE"/>
      <w:sz w:val="32"/>
      <w:szCs w:val="24"/>
    </w:rPr>
  </w:style>
  <w:style w:type="character" w:customStyle="1" w:styleId="Heading2Char">
    <w:name w:val="Heading 2 Char"/>
    <w:basedOn w:val="DefaultParagraphFont"/>
    <w:link w:val="Heading2"/>
    <w:uiPriority w:val="3"/>
    <w:rsid w:val="00481C95"/>
    <w:rPr>
      <w:rFonts w:ascii="Arial" w:hAnsi="Arial" w:cs="Arial"/>
      <w:b/>
      <w:sz w:val="32"/>
      <w:szCs w:val="24"/>
    </w:rPr>
  </w:style>
  <w:style w:type="character" w:customStyle="1" w:styleId="Heading3Char">
    <w:name w:val="Heading 3 Char"/>
    <w:basedOn w:val="DefaultParagraphFont"/>
    <w:link w:val="Heading3"/>
    <w:uiPriority w:val="3"/>
    <w:rsid w:val="00481C95"/>
    <w:rPr>
      <w:rFonts w:ascii="Arial" w:hAnsi="Arial" w:cs="Arial"/>
      <w:b/>
      <w:sz w:val="28"/>
      <w:szCs w:val="24"/>
    </w:rPr>
  </w:style>
  <w:style w:type="paragraph" w:styleId="Header">
    <w:name w:val="header"/>
    <w:basedOn w:val="Normal"/>
    <w:link w:val="HeaderChar"/>
    <w:uiPriority w:val="99"/>
    <w:unhideWhenUsed/>
    <w:rsid w:val="00AD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27"/>
    <w:rPr>
      <w:rFonts w:ascii="Arial" w:hAnsi="Arial" w:cs="Arial"/>
      <w:sz w:val="24"/>
      <w:szCs w:val="24"/>
    </w:rPr>
  </w:style>
  <w:style w:type="paragraph" w:styleId="Footer">
    <w:name w:val="footer"/>
    <w:basedOn w:val="Normal"/>
    <w:link w:val="FooterChar"/>
    <w:uiPriority w:val="99"/>
    <w:unhideWhenUsed/>
    <w:rsid w:val="00AD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27"/>
    <w:rPr>
      <w:rFonts w:ascii="Arial" w:hAnsi="Arial" w:cs="Arial"/>
      <w:sz w:val="24"/>
      <w:szCs w:val="24"/>
    </w:rPr>
  </w:style>
  <w:style w:type="paragraph" w:customStyle="1" w:styleId="TitlenotforTOC">
    <w:name w:val="Title (not for TOC)"/>
    <w:basedOn w:val="Normal"/>
    <w:next w:val="Normal"/>
    <w:uiPriority w:val="5"/>
    <w:rsid w:val="00B863E3"/>
    <w:rPr>
      <w:b/>
      <w:i/>
    </w:rPr>
  </w:style>
  <w:style w:type="paragraph" w:styleId="BalloonText">
    <w:name w:val="Balloon Text"/>
    <w:basedOn w:val="Normal"/>
    <w:link w:val="BalloonTextChar"/>
    <w:uiPriority w:val="99"/>
    <w:semiHidden/>
    <w:unhideWhenUsed/>
    <w:rsid w:val="000C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63"/>
    <w:rPr>
      <w:rFonts w:ascii="Tahoma" w:hAnsi="Tahoma" w:cs="Tahoma"/>
      <w:sz w:val="16"/>
      <w:szCs w:val="16"/>
    </w:rPr>
  </w:style>
  <w:style w:type="paragraph" w:customStyle="1" w:styleId="GuideTitle">
    <w:name w:val="Guide Title"/>
    <w:basedOn w:val="Normal"/>
    <w:uiPriority w:val="7"/>
    <w:qFormat/>
    <w:rsid w:val="0007409D"/>
    <w:pPr>
      <w:jc w:val="center"/>
    </w:pPr>
    <w:rPr>
      <w:sz w:val="48"/>
      <w:szCs w:val="80"/>
    </w:rPr>
  </w:style>
  <w:style w:type="paragraph" w:customStyle="1" w:styleId="BulletPoints">
    <w:name w:val="Bullet Points"/>
    <w:basedOn w:val="Normal"/>
    <w:link w:val="BulletPointsChar"/>
    <w:uiPriority w:val="5"/>
    <w:qFormat/>
    <w:rsid w:val="0007409D"/>
    <w:pPr>
      <w:numPr>
        <w:numId w:val="4"/>
      </w:numPr>
      <w:ind w:left="0" w:firstLine="0"/>
    </w:pPr>
  </w:style>
  <w:style w:type="character" w:customStyle="1" w:styleId="ListParagraphChar">
    <w:name w:val="List Paragraph Char"/>
    <w:aliases w:val="Numbered List Char"/>
    <w:basedOn w:val="DefaultParagraphFont"/>
    <w:link w:val="ListParagraph"/>
    <w:uiPriority w:val="4"/>
    <w:rsid w:val="00340198"/>
    <w:rPr>
      <w:rFonts w:ascii="Arial" w:hAnsi="Arial" w:cs="Arial"/>
      <w:sz w:val="24"/>
      <w:szCs w:val="24"/>
      <w:lang w:eastAsia="en-GB"/>
    </w:rPr>
  </w:style>
  <w:style w:type="character" w:customStyle="1" w:styleId="BulletPointsChar">
    <w:name w:val="Bullet Points Char"/>
    <w:basedOn w:val="ListParagraphChar"/>
    <w:link w:val="BulletPoints"/>
    <w:uiPriority w:val="5"/>
    <w:rsid w:val="0007409D"/>
    <w:rPr>
      <w:rFonts w:ascii="Arial" w:hAnsi="Arial" w:cs="Arial"/>
      <w:sz w:val="24"/>
      <w:szCs w:val="24"/>
      <w:lang w:eastAsia="en-GB"/>
    </w:rPr>
  </w:style>
  <w:style w:type="paragraph" w:styleId="TOCHeading">
    <w:name w:val="TOC Heading"/>
    <w:basedOn w:val="Heading1"/>
    <w:next w:val="Normal"/>
    <w:uiPriority w:val="39"/>
    <w:unhideWhenUsed/>
    <w:qFormat/>
    <w:rsid w:val="00182FE6"/>
    <w:pPr>
      <w:keepNext/>
      <w:keepLines/>
      <w:pBdr>
        <w:top w:val="none" w:sz="0" w:space="0" w:color="auto"/>
        <w:bottom w:val="none" w:sz="0" w:space="0" w:color="auto"/>
      </w:pBdr>
      <w:spacing w:before="120" w:after="240"/>
      <w:outlineLvl w:val="9"/>
    </w:pPr>
    <w:rPr>
      <w:rFonts w:eastAsiaTheme="majorEastAsia"/>
      <w:bCs/>
      <w:i/>
      <w:color w:val="0070C0"/>
      <w:sz w:val="40"/>
      <w:szCs w:val="28"/>
      <w:lang w:val="en-US" w:eastAsia="ja-JP"/>
    </w:rPr>
  </w:style>
  <w:style w:type="paragraph" w:styleId="TOC1">
    <w:name w:val="toc 1"/>
    <w:basedOn w:val="Normal"/>
    <w:next w:val="Normal"/>
    <w:autoRedefine/>
    <w:uiPriority w:val="39"/>
    <w:unhideWhenUsed/>
    <w:rsid w:val="00682471"/>
    <w:pPr>
      <w:tabs>
        <w:tab w:val="right" w:leader="dot" w:pos="9016"/>
      </w:tabs>
      <w:spacing w:after="100" w:line="240" w:lineRule="atLeast"/>
    </w:pPr>
    <w:rPr>
      <w:sz w:val="28"/>
    </w:rPr>
  </w:style>
  <w:style w:type="character" w:styleId="Hyperlink">
    <w:name w:val="Hyperlink"/>
    <w:basedOn w:val="DefaultParagraphFont"/>
    <w:uiPriority w:val="99"/>
    <w:unhideWhenUsed/>
    <w:rsid w:val="00604173"/>
    <w:rPr>
      <w:color w:val="0000FF" w:themeColor="hyperlink"/>
      <w:u w:val="single"/>
    </w:rPr>
  </w:style>
  <w:style w:type="table" w:styleId="TableGrid">
    <w:name w:val="Table Grid"/>
    <w:basedOn w:val="TableNormal"/>
    <w:uiPriority w:val="39"/>
    <w:rsid w:val="00604173"/>
    <w:pPr>
      <w:spacing w:after="0" w:line="240" w:lineRule="atLeast"/>
    </w:pPr>
    <w:rPr>
      <w:rFonts w:ascii="Arial" w:hAnsi="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vAlign w:val="center"/>
    </w:tcPr>
  </w:style>
  <w:style w:type="character" w:styleId="PlaceholderText">
    <w:name w:val="Placeholder Text"/>
    <w:basedOn w:val="DefaultParagraphFont"/>
    <w:uiPriority w:val="99"/>
    <w:semiHidden/>
    <w:rsid w:val="00B57B97"/>
    <w:rPr>
      <w:color w:val="808080"/>
    </w:rPr>
  </w:style>
  <w:style w:type="numbering" w:customStyle="1" w:styleId="Numbers">
    <w:name w:val="Numbers"/>
    <w:uiPriority w:val="99"/>
    <w:rsid w:val="00340198"/>
    <w:pPr>
      <w:numPr>
        <w:numId w:val="6"/>
      </w:numPr>
    </w:pPr>
  </w:style>
  <w:style w:type="character" w:styleId="FollowedHyperlink">
    <w:name w:val="FollowedHyperlink"/>
    <w:basedOn w:val="DefaultParagraphFont"/>
    <w:uiPriority w:val="99"/>
    <w:semiHidden/>
    <w:unhideWhenUsed/>
    <w:rsid w:val="00490522"/>
    <w:rPr>
      <w:color w:val="800080" w:themeColor="followedHyperlink"/>
      <w:u w:val="single"/>
    </w:rPr>
  </w:style>
  <w:style w:type="paragraph" w:styleId="TOC2">
    <w:name w:val="toc 2"/>
    <w:basedOn w:val="Normal"/>
    <w:next w:val="Normal"/>
    <w:autoRedefine/>
    <w:uiPriority w:val="39"/>
    <w:unhideWhenUsed/>
    <w:rsid w:val="00682471"/>
    <w:pPr>
      <w:spacing w:after="100"/>
      <w:ind w:left="240"/>
    </w:pPr>
  </w:style>
  <w:style w:type="paragraph" w:styleId="TOC3">
    <w:name w:val="toc 3"/>
    <w:basedOn w:val="Normal"/>
    <w:next w:val="Normal"/>
    <w:autoRedefine/>
    <w:uiPriority w:val="39"/>
    <w:unhideWhenUsed/>
    <w:rsid w:val="00682471"/>
    <w:pPr>
      <w:spacing w:after="100"/>
      <w:ind w:left="480"/>
    </w:pPr>
    <w:rPr>
      <w:sz w:val="22"/>
    </w:rPr>
  </w:style>
  <w:style w:type="paragraph" w:styleId="Caption">
    <w:name w:val="caption"/>
    <w:basedOn w:val="Normal"/>
    <w:next w:val="Normal"/>
    <w:uiPriority w:val="35"/>
    <w:unhideWhenUsed/>
    <w:qFormat/>
    <w:rsid w:val="006E0D9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3"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1C95"/>
    <w:rPr>
      <w:rFonts w:ascii="Arial" w:hAnsi="Arial" w:cs="Arial"/>
      <w:sz w:val="24"/>
      <w:szCs w:val="24"/>
    </w:rPr>
  </w:style>
  <w:style w:type="paragraph" w:styleId="Heading1">
    <w:name w:val="heading 1"/>
    <w:basedOn w:val="Normal"/>
    <w:next w:val="Normal"/>
    <w:link w:val="Heading1Char"/>
    <w:uiPriority w:val="2"/>
    <w:qFormat/>
    <w:rsid w:val="00A66FC5"/>
    <w:pPr>
      <w:pBdr>
        <w:top w:val="single" w:sz="12" w:space="1" w:color="auto"/>
        <w:bottom w:val="single" w:sz="12" w:space="1" w:color="auto"/>
      </w:pBdr>
      <w:outlineLvl w:val="0"/>
    </w:pPr>
    <w:rPr>
      <w:b/>
      <w:color w:val="0072CE"/>
      <w:sz w:val="32"/>
    </w:rPr>
  </w:style>
  <w:style w:type="paragraph" w:styleId="Heading2">
    <w:name w:val="heading 2"/>
    <w:basedOn w:val="Heading1"/>
    <w:next w:val="Normal"/>
    <w:link w:val="Heading2Char"/>
    <w:uiPriority w:val="3"/>
    <w:qFormat/>
    <w:rsid w:val="00B863E3"/>
    <w:pPr>
      <w:pBdr>
        <w:top w:val="none" w:sz="0" w:space="0" w:color="auto"/>
        <w:bottom w:val="none" w:sz="0" w:space="0" w:color="auto"/>
      </w:pBdr>
      <w:spacing w:before="240" w:after="240"/>
      <w:outlineLvl w:val="1"/>
    </w:pPr>
  </w:style>
  <w:style w:type="paragraph" w:styleId="Heading3">
    <w:name w:val="heading 3"/>
    <w:basedOn w:val="Heading2"/>
    <w:next w:val="Normal"/>
    <w:link w:val="Heading3Char"/>
    <w:uiPriority w:val="3"/>
    <w:qFormat/>
    <w:rsid w:val="00AD1427"/>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uiPriority w:val="4"/>
    <w:qFormat/>
    <w:rsid w:val="00340198"/>
    <w:pPr>
      <w:numPr>
        <w:numId w:val="17"/>
      </w:numPr>
      <w:spacing w:line="360" w:lineRule="auto"/>
    </w:pPr>
    <w:rPr>
      <w:lang w:eastAsia="en-GB"/>
    </w:rPr>
  </w:style>
  <w:style w:type="paragraph" w:styleId="NoSpacing">
    <w:name w:val="No Spacing"/>
    <w:uiPriority w:val="1"/>
    <w:qFormat/>
    <w:rsid w:val="00AD1427"/>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2"/>
    <w:rsid w:val="00A66FC5"/>
    <w:rPr>
      <w:rFonts w:ascii="Arial" w:hAnsi="Arial" w:cs="Arial"/>
      <w:b/>
      <w:color w:val="0072CE"/>
      <w:sz w:val="32"/>
      <w:szCs w:val="24"/>
    </w:rPr>
  </w:style>
  <w:style w:type="character" w:customStyle="1" w:styleId="Heading2Char">
    <w:name w:val="Heading 2 Char"/>
    <w:basedOn w:val="DefaultParagraphFont"/>
    <w:link w:val="Heading2"/>
    <w:uiPriority w:val="3"/>
    <w:rsid w:val="00481C95"/>
    <w:rPr>
      <w:rFonts w:ascii="Arial" w:hAnsi="Arial" w:cs="Arial"/>
      <w:b/>
      <w:sz w:val="32"/>
      <w:szCs w:val="24"/>
    </w:rPr>
  </w:style>
  <w:style w:type="character" w:customStyle="1" w:styleId="Heading3Char">
    <w:name w:val="Heading 3 Char"/>
    <w:basedOn w:val="DefaultParagraphFont"/>
    <w:link w:val="Heading3"/>
    <w:uiPriority w:val="3"/>
    <w:rsid w:val="00481C95"/>
    <w:rPr>
      <w:rFonts w:ascii="Arial" w:hAnsi="Arial" w:cs="Arial"/>
      <w:b/>
      <w:sz w:val="28"/>
      <w:szCs w:val="24"/>
    </w:rPr>
  </w:style>
  <w:style w:type="paragraph" w:styleId="Header">
    <w:name w:val="header"/>
    <w:basedOn w:val="Normal"/>
    <w:link w:val="HeaderChar"/>
    <w:uiPriority w:val="99"/>
    <w:unhideWhenUsed/>
    <w:rsid w:val="00AD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27"/>
    <w:rPr>
      <w:rFonts w:ascii="Arial" w:hAnsi="Arial" w:cs="Arial"/>
      <w:sz w:val="24"/>
      <w:szCs w:val="24"/>
    </w:rPr>
  </w:style>
  <w:style w:type="paragraph" w:styleId="Footer">
    <w:name w:val="footer"/>
    <w:basedOn w:val="Normal"/>
    <w:link w:val="FooterChar"/>
    <w:uiPriority w:val="99"/>
    <w:unhideWhenUsed/>
    <w:rsid w:val="00AD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27"/>
    <w:rPr>
      <w:rFonts w:ascii="Arial" w:hAnsi="Arial" w:cs="Arial"/>
      <w:sz w:val="24"/>
      <w:szCs w:val="24"/>
    </w:rPr>
  </w:style>
  <w:style w:type="paragraph" w:customStyle="1" w:styleId="TitlenotforTOC">
    <w:name w:val="Title (not for TOC)"/>
    <w:basedOn w:val="Normal"/>
    <w:next w:val="Normal"/>
    <w:uiPriority w:val="5"/>
    <w:rsid w:val="00B863E3"/>
    <w:rPr>
      <w:b/>
      <w:i/>
    </w:rPr>
  </w:style>
  <w:style w:type="paragraph" w:styleId="BalloonText">
    <w:name w:val="Balloon Text"/>
    <w:basedOn w:val="Normal"/>
    <w:link w:val="BalloonTextChar"/>
    <w:uiPriority w:val="99"/>
    <w:semiHidden/>
    <w:unhideWhenUsed/>
    <w:rsid w:val="000C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63"/>
    <w:rPr>
      <w:rFonts w:ascii="Tahoma" w:hAnsi="Tahoma" w:cs="Tahoma"/>
      <w:sz w:val="16"/>
      <w:szCs w:val="16"/>
    </w:rPr>
  </w:style>
  <w:style w:type="paragraph" w:customStyle="1" w:styleId="GuideTitle">
    <w:name w:val="Guide Title"/>
    <w:basedOn w:val="Normal"/>
    <w:uiPriority w:val="7"/>
    <w:qFormat/>
    <w:rsid w:val="0007409D"/>
    <w:pPr>
      <w:jc w:val="center"/>
    </w:pPr>
    <w:rPr>
      <w:sz w:val="48"/>
      <w:szCs w:val="80"/>
    </w:rPr>
  </w:style>
  <w:style w:type="paragraph" w:customStyle="1" w:styleId="BulletPoints">
    <w:name w:val="Bullet Points"/>
    <w:basedOn w:val="Normal"/>
    <w:link w:val="BulletPointsChar"/>
    <w:uiPriority w:val="5"/>
    <w:qFormat/>
    <w:rsid w:val="0007409D"/>
    <w:pPr>
      <w:numPr>
        <w:numId w:val="4"/>
      </w:numPr>
      <w:ind w:left="0" w:firstLine="0"/>
    </w:pPr>
  </w:style>
  <w:style w:type="character" w:customStyle="1" w:styleId="ListParagraphChar">
    <w:name w:val="List Paragraph Char"/>
    <w:aliases w:val="Numbered List Char"/>
    <w:basedOn w:val="DefaultParagraphFont"/>
    <w:link w:val="ListParagraph"/>
    <w:uiPriority w:val="4"/>
    <w:rsid w:val="00340198"/>
    <w:rPr>
      <w:rFonts w:ascii="Arial" w:hAnsi="Arial" w:cs="Arial"/>
      <w:sz w:val="24"/>
      <w:szCs w:val="24"/>
      <w:lang w:eastAsia="en-GB"/>
    </w:rPr>
  </w:style>
  <w:style w:type="character" w:customStyle="1" w:styleId="BulletPointsChar">
    <w:name w:val="Bullet Points Char"/>
    <w:basedOn w:val="ListParagraphChar"/>
    <w:link w:val="BulletPoints"/>
    <w:uiPriority w:val="5"/>
    <w:rsid w:val="0007409D"/>
    <w:rPr>
      <w:rFonts w:ascii="Arial" w:hAnsi="Arial" w:cs="Arial"/>
      <w:sz w:val="24"/>
      <w:szCs w:val="24"/>
      <w:lang w:eastAsia="en-GB"/>
    </w:rPr>
  </w:style>
  <w:style w:type="paragraph" w:styleId="TOCHeading">
    <w:name w:val="TOC Heading"/>
    <w:basedOn w:val="Heading1"/>
    <w:next w:val="Normal"/>
    <w:uiPriority w:val="39"/>
    <w:unhideWhenUsed/>
    <w:qFormat/>
    <w:rsid w:val="00182FE6"/>
    <w:pPr>
      <w:keepNext/>
      <w:keepLines/>
      <w:pBdr>
        <w:top w:val="none" w:sz="0" w:space="0" w:color="auto"/>
        <w:bottom w:val="none" w:sz="0" w:space="0" w:color="auto"/>
      </w:pBdr>
      <w:spacing w:before="120" w:after="240"/>
      <w:outlineLvl w:val="9"/>
    </w:pPr>
    <w:rPr>
      <w:rFonts w:eastAsiaTheme="majorEastAsia"/>
      <w:bCs/>
      <w:i/>
      <w:color w:val="0070C0"/>
      <w:sz w:val="40"/>
      <w:szCs w:val="28"/>
      <w:lang w:val="en-US" w:eastAsia="ja-JP"/>
    </w:rPr>
  </w:style>
  <w:style w:type="paragraph" w:styleId="TOC1">
    <w:name w:val="toc 1"/>
    <w:basedOn w:val="Normal"/>
    <w:next w:val="Normal"/>
    <w:autoRedefine/>
    <w:uiPriority w:val="39"/>
    <w:unhideWhenUsed/>
    <w:rsid w:val="00682471"/>
    <w:pPr>
      <w:tabs>
        <w:tab w:val="right" w:leader="dot" w:pos="9016"/>
      </w:tabs>
      <w:spacing w:after="100" w:line="240" w:lineRule="atLeast"/>
    </w:pPr>
    <w:rPr>
      <w:sz w:val="28"/>
    </w:rPr>
  </w:style>
  <w:style w:type="character" w:styleId="Hyperlink">
    <w:name w:val="Hyperlink"/>
    <w:basedOn w:val="DefaultParagraphFont"/>
    <w:uiPriority w:val="99"/>
    <w:unhideWhenUsed/>
    <w:rsid w:val="00604173"/>
    <w:rPr>
      <w:color w:val="0000FF" w:themeColor="hyperlink"/>
      <w:u w:val="single"/>
    </w:rPr>
  </w:style>
  <w:style w:type="table" w:styleId="TableGrid">
    <w:name w:val="Table Grid"/>
    <w:basedOn w:val="TableNormal"/>
    <w:uiPriority w:val="39"/>
    <w:rsid w:val="00604173"/>
    <w:pPr>
      <w:spacing w:after="0" w:line="240" w:lineRule="atLeast"/>
    </w:pPr>
    <w:rPr>
      <w:rFonts w:ascii="Arial" w:hAnsi="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vAlign w:val="center"/>
    </w:tcPr>
  </w:style>
  <w:style w:type="character" w:styleId="PlaceholderText">
    <w:name w:val="Placeholder Text"/>
    <w:basedOn w:val="DefaultParagraphFont"/>
    <w:uiPriority w:val="99"/>
    <w:semiHidden/>
    <w:rsid w:val="00B57B97"/>
    <w:rPr>
      <w:color w:val="808080"/>
    </w:rPr>
  </w:style>
  <w:style w:type="numbering" w:customStyle="1" w:styleId="Numbers">
    <w:name w:val="Numbers"/>
    <w:uiPriority w:val="99"/>
    <w:rsid w:val="00340198"/>
    <w:pPr>
      <w:numPr>
        <w:numId w:val="6"/>
      </w:numPr>
    </w:pPr>
  </w:style>
  <w:style w:type="character" w:styleId="FollowedHyperlink">
    <w:name w:val="FollowedHyperlink"/>
    <w:basedOn w:val="DefaultParagraphFont"/>
    <w:uiPriority w:val="99"/>
    <w:semiHidden/>
    <w:unhideWhenUsed/>
    <w:rsid w:val="00490522"/>
    <w:rPr>
      <w:color w:val="800080" w:themeColor="followedHyperlink"/>
      <w:u w:val="single"/>
    </w:rPr>
  </w:style>
  <w:style w:type="paragraph" w:styleId="TOC2">
    <w:name w:val="toc 2"/>
    <w:basedOn w:val="Normal"/>
    <w:next w:val="Normal"/>
    <w:autoRedefine/>
    <w:uiPriority w:val="39"/>
    <w:unhideWhenUsed/>
    <w:rsid w:val="00682471"/>
    <w:pPr>
      <w:spacing w:after="100"/>
      <w:ind w:left="240"/>
    </w:pPr>
  </w:style>
  <w:style w:type="paragraph" w:styleId="TOC3">
    <w:name w:val="toc 3"/>
    <w:basedOn w:val="Normal"/>
    <w:next w:val="Normal"/>
    <w:autoRedefine/>
    <w:uiPriority w:val="39"/>
    <w:unhideWhenUsed/>
    <w:rsid w:val="00682471"/>
    <w:pPr>
      <w:spacing w:after="100"/>
      <w:ind w:left="480"/>
    </w:pPr>
    <w:rPr>
      <w:sz w:val="22"/>
    </w:rPr>
  </w:style>
  <w:style w:type="paragraph" w:styleId="Caption">
    <w:name w:val="caption"/>
    <w:basedOn w:val="Normal"/>
    <w:next w:val="Normal"/>
    <w:uiPriority w:val="35"/>
    <w:unhideWhenUsed/>
    <w:qFormat/>
    <w:rsid w:val="006E0D9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7835">
      <w:bodyDiv w:val="1"/>
      <w:marLeft w:val="0"/>
      <w:marRight w:val="0"/>
      <w:marTop w:val="0"/>
      <w:marBottom w:val="0"/>
      <w:divBdr>
        <w:top w:val="none" w:sz="0" w:space="0" w:color="auto"/>
        <w:left w:val="none" w:sz="0" w:space="0" w:color="auto"/>
        <w:bottom w:val="none" w:sz="0" w:space="0" w:color="auto"/>
        <w:right w:val="none" w:sz="0" w:space="0" w:color="auto"/>
      </w:divBdr>
    </w:div>
    <w:div w:id="1103380398">
      <w:bodyDiv w:val="1"/>
      <w:marLeft w:val="0"/>
      <w:marRight w:val="0"/>
      <w:marTop w:val="0"/>
      <w:marBottom w:val="0"/>
      <w:divBdr>
        <w:top w:val="none" w:sz="0" w:space="0" w:color="auto"/>
        <w:left w:val="none" w:sz="0" w:space="0" w:color="auto"/>
        <w:bottom w:val="none" w:sz="0" w:space="0" w:color="auto"/>
        <w:right w:val="none" w:sz="0" w:space="0" w:color="auto"/>
      </w:divBdr>
    </w:div>
    <w:div w:id="1438787840">
      <w:bodyDiv w:val="1"/>
      <w:marLeft w:val="0"/>
      <w:marRight w:val="0"/>
      <w:marTop w:val="0"/>
      <w:marBottom w:val="0"/>
      <w:divBdr>
        <w:top w:val="none" w:sz="0" w:space="0" w:color="auto"/>
        <w:left w:val="none" w:sz="0" w:space="0" w:color="auto"/>
        <w:bottom w:val="none" w:sz="0" w:space="0" w:color="auto"/>
        <w:right w:val="none" w:sz="0" w:space="0" w:color="auto"/>
      </w:divBdr>
    </w:div>
    <w:div w:id="1641155131">
      <w:bodyDiv w:val="1"/>
      <w:marLeft w:val="0"/>
      <w:marRight w:val="0"/>
      <w:marTop w:val="0"/>
      <w:marBottom w:val="0"/>
      <w:divBdr>
        <w:top w:val="none" w:sz="0" w:space="0" w:color="auto"/>
        <w:left w:val="none" w:sz="0" w:space="0" w:color="auto"/>
        <w:bottom w:val="none" w:sz="0" w:space="0" w:color="auto"/>
        <w:right w:val="none" w:sz="0" w:space="0" w:color="auto"/>
      </w:divBdr>
    </w:div>
    <w:div w:id="1783305251">
      <w:bodyDiv w:val="1"/>
      <w:marLeft w:val="0"/>
      <w:marRight w:val="0"/>
      <w:marTop w:val="0"/>
      <w:marBottom w:val="0"/>
      <w:divBdr>
        <w:top w:val="none" w:sz="0" w:space="0" w:color="auto"/>
        <w:left w:val="none" w:sz="0" w:space="0" w:color="auto"/>
        <w:bottom w:val="none" w:sz="0" w:space="0" w:color="auto"/>
        <w:right w:val="none" w:sz="0" w:space="0" w:color="auto"/>
      </w:divBdr>
    </w:div>
    <w:div w:id="1950700817">
      <w:bodyDiv w:val="1"/>
      <w:marLeft w:val="0"/>
      <w:marRight w:val="0"/>
      <w:marTop w:val="0"/>
      <w:marBottom w:val="0"/>
      <w:divBdr>
        <w:top w:val="none" w:sz="0" w:space="0" w:color="auto"/>
        <w:left w:val="none" w:sz="0" w:space="0" w:color="auto"/>
        <w:bottom w:val="none" w:sz="0" w:space="0" w:color="auto"/>
        <w:right w:val="none" w:sz="0" w:space="0" w:color="auto"/>
      </w:divBdr>
    </w:div>
    <w:div w:id="2041663535">
      <w:bodyDiv w:val="1"/>
      <w:marLeft w:val="0"/>
      <w:marRight w:val="0"/>
      <w:marTop w:val="0"/>
      <w:marBottom w:val="0"/>
      <w:divBdr>
        <w:top w:val="none" w:sz="0" w:space="0" w:color="auto"/>
        <w:left w:val="none" w:sz="0" w:space="0" w:color="auto"/>
        <w:bottom w:val="none" w:sz="0" w:space="0" w:color="auto"/>
        <w:right w:val="none" w:sz="0" w:space="0" w:color="auto"/>
      </w:divBdr>
    </w:div>
    <w:div w:id="20559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2.xml"/><Relationship Id="rId21" Type="http://schemas.openxmlformats.org/officeDocument/2006/relationships/image" Target="media/image10.png"/><Relationship Id="rId34" Type="http://schemas.openxmlformats.org/officeDocument/2006/relationships/hyperlink" Target="https://www.nhsbsa.nhs.uk/epact2/epact2-user-guide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bsa.nhs.uk/epact2" TargetMode="External"/><Relationship Id="rId24" Type="http://schemas.openxmlformats.org/officeDocument/2006/relationships/image" Target="media/image13.png"/><Relationship Id="rId32" Type="http://schemas.openxmlformats.org/officeDocument/2006/relationships/hyperlink" Target="https://www.nhsbsa.nhs.uk/epact2" TargetMode="External"/><Relationship Id="rId37" Type="http://schemas.openxmlformats.org/officeDocument/2006/relationships/hyperlink" Target="https://www.nhsbsa.nhs.uk/epact2/epact2-trainin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cid:image005.jpg@01D41E81.4742C680" TargetMode="External"/><Relationship Id="rId36" Type="http://schemas.openxmlformats.org/officeDocument/2006/relationships/hyperlink" Target="https://www.nhsbsa.nhs.uk/epact2/epact2-user-guides" TargetMode="Externa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hyperlink" Target="http://www.nhsbsa.nhs.uk/PrescriptionServices/3234.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8.png"/><Relationship Id="rId35" Type="http://schemas.openxmlformats.org/officeDocument/2006/relationships/image" Target="media/image19.jpe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nhsbsa.nhs.uk/epact2/epact2-user-guide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mailto:nhsbsa.help@nhs.net"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62DD0-8DBA-40F5-A9D1-5A8392F4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Westrip</dc:creator>
  <cp:lastModifiedBy>danth</cp:lastModifiedBy>
  <cp:revision>4</cp:revision>
  <dcterms:created xsi:type="dcterms:W3CDTF">2018-07-25T14:13:00Z</dcterms:created>
  <dcterms:modified xsi:type="dcterms:W3CDTF">2018-07-26T15:21:00Z</dcterms:modified>
</cp:coreProperties>
</file>